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B35B2" w14:textId="23EE4489" w:rsidR="007A0375" w:rsidRPr="00156DC9" w:rsidRDefault="003457C2" w:rsidP="003457C2">
      <w:pPr>
        <w:spacing w:after="0" w:line="240" w:lineRule="auto"/>
        <w:ind w:left="540" w:hanging="540"/>
        <w:jc w:val="center"/>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UDHËZIM</w:t>
      </w:r>
    </w:p>
    <w:p w14:paraId="4EB35679" w14:textId="2B664ED1" w:rsidR="00AB79AD" w:rsidRPr="00156DC9" w:rsidRDefault="003457C2" w:rsidP="00AB79AD">
      <w:pPr>
        <w:spacing w:after="0" w:line="240" w:lineRule="auto"/>
        <w:jc w:val="center"/>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PËR IMUNITETIN</w:t>
      </w:r>
      <w:r w:rsidR="003C6407" w:rsidRPr="00156DC9">
        <w:rPr>
          <w:rFonts w:ascii="Times New Roman" w:eastAsia="Times New Roman" w:hAnsi="Times New Roman" w:cs="Times New Roman"/>
          <w:b/>
          <w:bCs/>
          <w:sz w:val="24"/>
          <w:szCs w:val="24"/>
        </w:rPr>
        <w:t xml:space="preserve"> NGA GJOBAT</w:t>
      </w:r>
      <w:r w:rsidRPr="00156DC9">
        <w:rPr>
          <w:rFonts w:ascii="Times New Roman" w:eastAsia="Times New Roman" w:hAnsi="Times New Roman" w:cs="Times New Roman"/>
          <w:b/>
          <w:bCs/>
          <w:sz w:val="24"/>
          <w:szCs w:val="24"/>
        </w:rPr>
        <w:t xml:space="preserve"> </w:t>
      </w:r>
      <w:r w:rsidR="00AB79AD" w:rsidRPr="00156DC9">
        <w:rPr>
          <w:rFonts w:ascii="Times New Roman" w:eastAsia="Times New Roman" w:hAnsi="Times New Roman" w:cs="Times New Roman"/>
          <w:b/>
          <w:bCs/>
          <w:sz w:val="24"/>
          <w:szCs w:val="24"/>
        </w:rPr>
        <w:t>DHE LEHTËSIMIN</w:t>
      </w:r>
      <w:r w:rsidR="003C6407" w:rsidRPr="00156DC9">
        <w:rPr>
          <w:rFonts w:ascii="Times New Roman" w:eastAsia="Times New Roman" w:hAnsi="Times New Roman" w:cs="Times New Roman"/>
          <w:b/>
          <w:bCs/>
          <w:sz w:val="24"/>
          <w:szCs w:val="24"/>
        </w:rPr>
        <w:t xml:space="preserve"> E GJOBAVE</w:t>
      </w:r>
      <w:r w:rsidR="00AB79AD" w:rsidRPr="00156DC9">
        <w:rPr>
          <w:rFonts w:ascii="Times New Roman" w:eastAsia="Times New Roman" w:hAnsi="Times New Roman" w:cs="Times New Roman"/>
          <w:b/>
          <w:bCs/>
          <w:sz w:val="24"/>
          <w:szCs w:val="24"/>
        </w:rPr>
        <w:t xml:space="preserve"> NË RASTET E MARRËVESHJEVE TË NDALUARA</w:t>
      </w:r>
      <w:r w:rsidR="0036511E">
        <w:rPr>
          <w:rStyle w:val="FootnoteReference"/>
          <w:rFonts w:ascii="Times New Roman" w:eastAsia="Times New Roman" w:hAnsi="Times New Roman" w:cs="Times New Roman"/>
          <w:b/>
          <w:bCs/>
          <w:sz w:val="24"/>
          <w:szCs w:val="24"/>
        </w:rPr>
        <w:footnoteReference w:id="1"/>
      </w:r>
    </w:p>
    <w:p w14:paraId="51093573" w14:textId="77777777" w:rsidR="00AB79AD" w:rsidRPr="00156DC9" w:rsidRDefault="00AB79AD" w:rsidP="00AB79AD">
      <w:pPr>
        <w:spacing w:after="0" w:line="240" w:lineRule="auto"/>
        <w:jc w:val="center"/>
        <w:rPr>
          <w:rFonts w:ascii="Times New Roman" w:eastAsia="Times New Roman" w:hAnsi="Times New Roman" w:cs="Times New Roman"/>
          <w:b/>
          <w:bCs/>
          <w:sz w:val="24"/>
          <w:szCs w:val="24"/>
        </w:rPr>
      </w:pPr>
    </w:p>
    <w:p w14:paraId="1AB6434A" w14:textId="69546048" w:rsidR="003457C2" w:rsidRPr="00156DC9" w:rsidRDefault="003457C2" w:rsidP="00AB79AD">
      <w:pPr>
        <w:spacing w:after="0" w:line="240" w:lineRule="auto"/>
        <w:rPr>
          <w:rFonts w:ascii="Times New Roman" w:eastAsia="Times New Roman" w:hAnsi="Times New Roman" w:cs="Times New Roman"/>
          <w:b/>
          <w:bCs/>
          <w:sz w:val="24"/>
          <w:szCs w:val="24"/>
        </w:rPr>
      </w:pPr>
    </w:p>
    <w:p w14:paraId="5D403D01" w14:textId="77777777" w:rsidR="003457C2" w:rsidRPr="00156DC9" w:rsidRDefault="003457C2" w:rsidP="003457C2">
      <w:pPr>
        <w:spacing w:after="0" w:line="240" w:lineRule="auto"/>
        <w:ind w:left="540" w:hanging="540"/>
        <w:jc w:val="center"/>
        <w:rPr>
          <w:rFonts w:ascii="Times New Roman" w:eastAsia="Times New Roman" w:hAnsi="Times New Roman" w:cs="Times New Roman"/>
          <w:b/>
          <w:bCs/>
          <w:sz w:val="24"/>
          <w:szCs w:val="24"/>
        </w:rPr>
      </w:pPr>
    </w:p>
    <w:p w14:paraId="04714860"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I. HYRJE</w:t>
      </w:r>
    </w:p>
    <w:p w14:paraId="08F24BC4"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52515D38" w14:textId="19BA704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Ky Udhëzim përcakton kuadrin për shpërblimin e bashkëpunimit në hetimin e Autoritetit të Konkurrencës nga ndërmarrjet që janë ose kanë qenë palë në kartele sekrete që ndikojnë në </w:t>
      </w:r>
      <w:r w:rsidR="00AB19C4" w:rsidRPr="00156DC9">
        <w:rPr>
          <w:rFonts w:ascii="Times New Roman" w:eastAsia="Times New Roman" w:hAnsi="Times New Roman" w:cs="Times New Roman"/>
          <w:sz w:val="24"/>
          <w:szCs w:val="24"/>
        </w:rPr>
        <w:t>t</w:t>
      </w:r>
      <w:r w:rsidRPr="00156DC9">
        <w:rPr>
          <w:rFonts w:ascii="Times New Roman" w:eastAsia="Times New Roman" w:hAnsi="Times New Roman" w:cs="Times New Roman"/>
          <w:sz w:val="24"/>
          <w:szCs w:val="24"/>
        </w:rPr>
        <w:t xml:space="preserve">regun Shqiptar. Kartelet janë marrëveshje dhe/ose praktika të bashkërenduara midis dy ose më shumë konkurrentëve që synojnë koordinimin e sjelljes së tyre konkurruese në treg dhe/ose ndikimin në parametrat përkatës të konkurrencës përmes praktikave të tilla si përcaktimi i çmimeve të blerjes ose shitjes ose kushteve të tjera tregtare, ndarja e kuotave të prodhimit ose shitjes, ndarja e tregjeve duke përfshirë manipulimin e ofertave, kufizimet e importeve ose eksporteve dhe/ose veprimet antikonkurruese kundër konkurrentëve të tjerë. Praktika të tilla janë ndër shkeljet më serioze të </w:t>
      </w:r>
      <w:r w:rsidRPr="00156DC9">
        <w:rPr>
          <w:rFonts w:ascii="Times New Roman" w:hAnsi="Times New Roman" w:cs="Times New Roman"/>
          <w:sz w:val="24"/>
          <w:szCs w:val="24"/>
        </w:rPr>
        <w:t>Ligjit Nr. 9121, datë 28.07.2003 "Për Mbrojtjen e Konkurrencës" (</w:t>
      </w:r>
      <w:r w:rsidR="00AB19C4" w:rsidRPr="00156DC9">
        <w:rPr>
          <w:rFonts w:ascii="Times New Roman" w:hAnsi="Times New Roman" w:cs="Times New Roman"/>
          <w:sz w:val="24"/>
          <w:szCs w:val="24"/>
        </w:rPr>
        <w:t>k</w:t>
      </w:r>
      <w:r w:rsidRPr="00156DC9">
        <w:rPr>
          <w:rFonts w:ascii="Times New Roman" w:hAnsi="Times New Roman" w:cs="Times New Roman"/>
          <w:sz w:val="24"/>
          <w:szCs w:val="24"/>
        </w:rPr>
        <w:t>ë</w:t>
      </w:r>
      <w:r w:rsidR="00AB19C4" w:rsidRPr="00156DC9">
        <w:rPr>
          <w:rFonts w:ascii="Times New Roman" w:hAnsi="Times New Roman" w:cs="Times New Roman"/>
          <w:sz w:val="24"/>
          <w:szCs w:val="24"/>
        </w:rPr>
        <w:t>tej e tutje</w:t>
      </w:r>
      <w:r w:rsidRPr="00156DC9">
        <w:rPr>
          <w:rFonts w:ascii="Times New Roman" w:hAnsi="Times New Roman" w:cs="Times New Roman"/>
          <w:sz w:val="24"/>
          <w:szCs w:val="24"/>
        </w:rPr>
        <w:t xml:space="preserve"> referuar si "Ligji") </w:t>
      </w:r>
      <w:r w:rsidRPr="00156DC9">
        <w:rPr>
          <w:rFonts w:ascii="Times New Roman" w:eastAsia="Times New Roman" w:hAnsi="Times New Roman" w:cs="Times New Roman"/>
          <w:sz w:val="24"/>
          <w:szCs w:val="24"/>
        </w:rPr>
        <w:t>.</w:t>
      </w:r>
    </w:p>
    <w:p w14:paraId="1671FDF8"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83F84E3" w14:textId="77777777" w:rsidR="00980F05" w:rsidRPr="00156DC9" w:rsidRDefault="00980F05" w:rsidP="00980F05">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Duke kufizuar artificialisht konkurrencën që normalisht do të mbizotëronte midis tyre, ndërmarrjet shmangin pikërisht ato presione që çojnë drejt inovacionit, si në aspektin e zhvillimit të produkteve ashtu edhe në prezantimin e metodave më efikase të prodhimit. Praktika të tilla çojnë gjithashtu në lëndë të para dhe përbërës më të shtrenjtë për kompanitë vendase që blejnë nga këta prodhues. Si rezultat, konsumatorët përballen me çmime artificialisht më të larta dhe me më pak alternativa zgjedhjeje. Në planin afatgjatë, kjo sjell humbje të konkurrueshmërisë dhe reduktim të mundësive për punësim.</w:t>
      </w:r>
    </w:p>
    <w:p w14:paraId="6FE60339"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6168E93" w14:textId="28A7B324"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Nga vetë natyra e tyre, kartelet janë shpesh të vështira për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zbuluar dhe hetuar pa bashkëpunimin e ndërmarrjeve ose individëve të përfshirë në to. Prandaj, Autoriteti i Konkurrencës konsideron se është në interesin kombëtar të shpërblejë ndërmarrjet e përfshira në këtë lloj praktike të paligjshme</w:t>
      </w:r>
      <w:r w:rsidR="00980F05"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të cilat janë të gatshme t'i japin fund pjesëmarrjes së tyre dhe të bashkëpunojnë në hetimin e Autoritetit të Konkurrencës, pavarësisht nga pjesa tjetër e ndërmarrjeve të përfshira në kartel. Interesat e konsumatorëve dhe qytetarëve për të siguruar që kartelet të zbulohen dhe të ndëshkohen tejkalojnë interesin në gjobitjen e atyre ndërmarrjeve që i mundësojnë Autoritetit të Konkurrencës të zbulojë dhe ndalojë praktika të tilla.</w:t>
      </w:r>
    </w:p>
    <w:p w14:paraId="0A689AC3"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A05D9E4" w14:textId="7777777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Autoriteti i Konkurrencës konsideron se bashkëpunimi i një ndërmarrjeje në zbulimin e ekzistencës së një karteli ka një vlerë të brendshme. Një kontribut vendimtar në hapjen e një </w:t>
      </w:r>
      <w:r w:rsidRPr="00156DC9">
        <w:rPr>
          <w:rFonts w:ascii="Times New Roman" w:eastAsia="Times New Roman" w:hAnsi="Times New Roman" w:cs="Times New Roman"/>
          <w:sz w:val="24"/>
          <w:szCs w:val="24"/>
        </w:rPr>
        <w:lastRenderedPageBreak/>
        <w:t>hetimi ose në gjetjen e një shkeljeje mund të justifikojë dhënien e imunitetit nga çdo gjobë për ndërmarrjen në fjalë, me kusht që të përmbushen disa kërkesa shtesë.</w:t>
      </w:r>
    </w:p>
    <w:p w14:paraId="7D8502B9"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72C67FEB" w14:textId="48B9082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Për më tepër, bashkëpunimi nga një ose më shumë ndërmarrje mund të justifikojë një ulje të gjobës nga Autoriteti i Konkurrencës. Çdo ulje e gjobës duhet të pasqyrojë kontributin </w:t>
      </w:r>
      <w:r w:rsidR="00980F05" w:rsidRPr="00156DC9">
        <w:rPr>
          <w:rFonts w:ascii="Times New Roman" w:eastAsia="Times New Roman" w:hAnsi="Times New Roman" w:cs="Times New Roman"/>
          <w:sz w:val="24"/>
          <w:szCs w:val="24"/>
        </w:rPr>
        <w:t>real</w:t>
      </w:r>
      <w:r w:rsidRPr="00156DC9">
        <w:rPr>
          <w:rFonts w:ascii="Times New Roman" w:eastAsia="Times New Roman" w:hAnsi="Times New Roman" w:cs="Times New Roman"/>
          <w:sz w:val="24"/>
          <w:szCs w:val="24"/>
        </w:rPr>
        <w:t xml:space="preserve"> të ndërmarrjes, në aspektin e cilësisë dhe kohës, në përcaktimin e shkeljes nga Autoriteti i Konkurrencës. Uljet duhet të kufizohen në ato ndërmarrje që i ofrojnë Autoritetit të Konkurrencës prova që i shtojnë vlerë të konsiderueshme </w:t>
      </w:r>
      <w:r w:rsidR="00980F05" w:rsidRPr="00156DC9">
        <w:rPr>
          <w:rFonts w:ascii="Times New Roman" w:eastAsia="Times New Roman" w:hAnsi="Times New Roman" w:cs="Times New Roman"/>
          <w:sz w:val="24"/>
          <w:szCs w:val="24"/>
        </w:rPr>
        <w:t>provave</w:t>
      </w:r>
      <w:r w:rsidRPr="00156DC9">
        <w:rPr>
          <w:rFonts w:ascii="Times New Roman" w:eastAsia="Times New Roman" w:hAnsi="Times New Roman" w:cs="Times New Roman"/>
          <w:sz w:val="24"/>
          <w:szCs w:val="24"/>
        </w:rPr>
        <w:t xml:space="preserve"> që janë tashmë në zotërim të Autoritetit të Konkurrencës.</w:t>
      </w:r>
    </w:p>
    <w:p w14:paraId="64A58619" w14:textId="77777777" w:rsidR="00350F7A" w:rsidRPr="00156DC9" w:rsidRDefault="00350F7A" w:rsidP="00350F7A">
      <w:pPr>
        <w:spacing w:after="0" w:line="240" w:lineRule="auto"/>
        <w:jc w:val="both"/>
        <w:rPr>
          <w:rFonts w:ascii="Times New Roman" w:eastAsia="Times New Roman" w:hAnsi="Times New Roman" w:cs="Times New Roman"/>
          <w:sz w:val="24"/>
          <w:szCs w:val="24"/>
        </w:rPr>
      </w:pPr>
    </w:p>
    <w:p w14:paraId="0F2582E0" w14:textId="6A816073"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Përveç paraqitjes së dokumenteve paraprake, ndërmarrjet mund t'i paraqesin Autoritetit të Konkurrencës </w:t>
      </w:r>
      <w:r w:rsidR="00541EFD" w:rsidRPr="00156DC9">
        <w:rPr>
          <w:rFonts w:ascii="Times New Roman" w:eastAsia="Times New Roman" w:hAnsi="Times New Roman" w:cs="Times New Roman"/>
          <w:sz w:val="24"/>
          <w:szCs w:val="24"/>
        </w:rPr>
        <w:t>deklarime</w:t>
      </w:r>
      <w:r w:rsidRPr="00156DC9">
        <w:rPr>
          <w:rFonts w:ascii="Times New Roman" w:eastAsia="Times New Roman" w:hAnsi="Times New Roman" w:cs="Times New Roman"/>
          <w:sz w:val="24"/>
          <w:szCs w:val="24"/>
        </w:rPr>
        <w:t xml:space="preserve"> vullnetare </w:t>
      </w:r>
      <w:r w:rsidR="00541EFD" w:rsidRPr="00156DC9">
        <w:rPr>
          <w:rFonts w:ascii="Times New Roman" w:eastAsia="Times New Roman" w:hAnsi="Times New Roman" w:cs="Times New Roman"/>
          <w:sz w:val="24"/>
          <w:szCs w:val="24"/>
        </w:rPr>
        <w:t>mbi</w:t>
      </w:r>
      <w:r w:rsidRPr="00156DC9">
        <w:rPr>
          <w:rFonts w:ascii="Times New Roman" w:eastAsia="Times New Roman" w:hAnsi="Times New Roman" w:cs="Times New Roman"/>
          <w:sz w:val="24"/>
          <w:szCs w:val="24"/>
        </w:rPr>
        <w:t xml:space="preserve"> njohuritë</w:t>
      </w:r>
      <w:r w:rsidR="00541EFD" w:rsidRPr="00156DC9">
        <w:rPr>
          <w:rFonts w:ascii="Times New Roman" w:eastAsia="Times New Roman" w:hAnsi="Times New Roman" w:cs="Times New Roman"/>
          <w:sz w:val="24"/>
          <w:szCs w:val="24"/>
        </w:rPr>
        <w:t xml:space="preserve"> e</w:t>
      </w:r>
      <w:r w:rsidRPr="00156DC9">
        <w:rPr>
          <w:rFonts w:ascii="Times New Roman" w:eastAsia="Times New Roman" w:hAnsi="Times New Roman" w:cs="Times New Roman"/>
          <w:sz w:val="24"/>
          <w:szCs w:val="24"/>
        </w:rPr>
        <w:t xml:space="preserve"> tyre për një kartel dhe rolin e tyre në të, të përgatitura posaçërisht për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paraqitur sipas këtij programi lehtësimi. Këto iniciativa kanë rezultuar të dobishme për hetimin efektiv dhe ndërprerjen e shkeljeve të karteleve dhe ato nuk duhet të dekurajohen nga </w:t>
      </w:r>
      <w:r w:rsidR="00541EFD" w:rsidRPr="00156DC9">
        <w:rPr>
          <w:rFonts w:ascii="Times New Roman" w:eastAsia="Times New Roman" w:hAnsi="Times New Roman" w:cs="Times New Roman"/>
          <w:sz w:val="24"/>
          <w:szCs w:val="24"/>
        </w:rPr>
        <w:t>urdhrat e gjykatës për paraqitjen e provave në kuadër të proceseve civile.</w:t>
      </w:r>
      <w:r w:rsidRPr="00156DC9">
        <w:rPr>
          <w:rFonts w:ascii="Times New Roman" w:eastAsia="Times New Roman" w:hAnsi="Times New Roman" w:cs="Times New Roman"/>
          <w:sz w:val="24"/>
          <w:szCs w:val="24"/>
        </w:rPr>
        <w:t xml:space="preserve"> Aplikantët potencialë për lehtësim mund të dekurajohen nga bashkëpunimi me Autoritetin e Konkurrencës sipas këtij Udhëzimi nëse kjo mund të dëmtojë pozicionin e tyre në </w:t>
      </w:r>
      <w:r w:rsidR="00541EFD" w:rsidRPr="00156DC9">
        <w:rPr>
          <w:rFonts w:ascii="Times New Roman" w:eastAsia="Times New Roman" w:hAnsi="Times New Roman" w:cs="Times New Roman"/>
          <w:sz w:val="24"/>
          <w:szCs w:val="24"/>
        </w:rPr>
        <w:t>procese</w:t>
      </w:r>
      <w:r w:rsidRPr="00156DC9">
        <w:rPr>
          <w:rFonts w:ascii="Times New Roman" w:eastAsia="Times New Roman" w:hAnsi="Times New Roman" w:cs="Times New Roman"/>
          <w:sz w:val="24"/>
          <w:szCs w:val="24"/>
        </w:rPr>
        <w:t xml:space="preserve"> civile, krahasuar me </w:t>
      </w:r>
      <w:r w:rsidR="00541EFD" w:rsidRPr="00156DC9">
        <w:rPr>
          <w:rFonts w:ascii="Times New Roman" w:eastAsia="Times New Roman" w:hAnsi="Times New Roman" w:cs="Times New Roman"/>
          <w:sz w:val="24"/>
          <w:szCs w:val="24"/>
        </w:rPr>
        <w:t>shoqër</w:t>
      </w:r>
      <w:r w:rsidRPr="00156DC9">
        <w:rPr>
          <w:rFonts w:ascii="Times New Roman" w:eastAsia="Times New Roman" w:hAnsi="Times New Roman" w:cs="Times New Roman"/>
          <w:sz w:val="24"/>
          <w:szCs w:val="24"/>
        </w:rPr>
        <w:t xml:space="preserve">itë që nuk bashkëpunojnë. Një efekt i tillë i padëshirueshëm do të dëmtonte ndjeshëm interesin publik në sigurimin e zbatimit efektiv publik të Ligjit </w:t>
      </w:r>
      <w:r w:rsidRPr="00156DC9">
        <w:rPr>
          <w:rFonts w:ascii="Times New Roman" w:hAnsi="Times New Roman" w:cs="Times New Roman"/>
          <w:sz w:val="24"/>
          <w:szCs w:val="24"/>
        </w:rPr>
        <w:t xml:space="preserve">në </w:t>
      </w:r>
      <w:r w:rsidRPr="00156DC9">
        <w:rPr>
          <w:rFonts w:ascii="Times New Roman" w:eastAsia="Times New Roman" w:hAnsi="Times New Roman" w:cs="Times New Roman"/>
          <w:sz w:val="24"/>
          <w:szCs w:val="24"/>
        </w:rPr>
        <w:t xml:space="preserve">rastet e karteleve dhe </w:t>
      </w:r>
      <w:r w:rsidR="00BE245F" w:rsidRPr="00156DC9">
        <w:rPr>
          <w:rFonts w:ascii="Times New Roman" w:eastAsia="Times New Roman" w:hAnsi="Times New Roman" w:cs="Times New Roman"/>
          <w:sz w:val="24"/>
          <w:szCs w:val="24"/>
        </w:rPr>
        <w:t>rrjedhimisht edhe</w:t>
      </w:r>
      <w:r w:rsidRPr="00156DC9">
        <w:rPr>
          <w:rFonts w:ascii="Times New Roman" w:eastAsia="Times New Roman" w:hAnsi="Times New Roman" w:cs="Times New Roman"/>
          <w:sz w:val="24"/>
          <w:szCs w:val="24"/>
        </w:rPr>
        <w:t xml:space="preserve"> zbatimin e tij </w:t>
      </w:r>
      <w:r w:rsidR="0079630E" w:rsidRPr="00156DC9">
        <w:rPr>
          <w:rFonts w:ascii="Times New Roman" w:eastAsia="Times New Roman" w:hAnsi="Times New Roman" w:cs="Times New Roman"/>
          <w:sz w:val="24"/>
          <w:szCs w:val="24"/>
        </w:rPr>
        <w:t>efektiv</w:t>
      </w:r>
      <w:r w:rsidR="00BE245F" w:rsidRPr="00156DC9">
        <w:rPr>
          <w:rFonts w:ascii="Times New Roman" w:eastAsia="Times New Roman" w:hAnsi="Times New Roman" w:cs="Times New Roman"/>
          <w:sz w:val="24"/>
          <w:szCs w:val="24"/>
        </w:rPr>
        <w:t xml:space="preserve"> privat</w:t>
      </w:r>
      <w:r w:rsidR="0079630E" w:rsidRPr="00156DC9">
        <w:rPr>
          <w:rFonts w:ascii="Times New Roman" w:eastAsia="Times New Roman" w:hAnsi="Times New Roman" w:cs="Times New Roman"/>
          <w:sz w:val="24"/>
          <w:szCs w:val="24"/>
        </w:rPr>
        <w:t xml:space="preserve">, </w:t>
      </w:r>
      <w:r w:rsidRPr="00156DC9">
        <w:rPr>
          <w:rFonts w:ascii="Times New Roman" w:eastAsia="Times New Roman" w:hAnsi="Times New Roman" w:cs="Times New Roman"/>
          <w:sz w:val="24"/>
          <w:szCs w:val="24"/>
        </w:rPr>
        <w:t>të mëvonshëm ose paralel.</w:t>
      </w:r>
    </w:p>
    <w:p w14:paraId="2D1A8A2B"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E334F56" w14:textId="7AE5C599"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Detyra mbikëqyrëse që i është dhënë Autoritetit të Konkurrencës nga Ligji në çështjet e konkurrencës nuk përfshin vetëm detyrën për të hetuar dhe ndëshkuar shkeljet individuale, por përfshin edhe detyrën për të ndjekur një politikë të përgjithshme. </w:t>
      </w:r>
      <w:r w:rsidR="00236E9E" w:rsidRPr="00156DC9">
        <w:rPr>
          <w:rFonts w:ascii="Times New Roman" w:eastAsia="Times New Roman" w:hAnsi="Times New Roman" w:cs="Times New Roman"/>
          <w:sz w:val="24"/>
          <w:szCs w:val="24"/>
        </w:rPr>
        <w:t>Mbrojtja, në interes publik, e deklaratave të ndërmarrjeve të paraqitura në kuadër të Programit të Lehtësimit nuk përbën pengesë për vënien e tyre në dispozicion të adresuarve të tjerë të vendimit, për aq sa është e nevojshme për ushtrimin e të drejtës së mbrojtjes në procedurat pranë Autoritetit të Konkurrencës. Këto dy interesa mund të harmonizohen, për aq sa është teknikisht e mundur, duke lejuar konsultimin e deklaratave të shoqërive vetëm në mjediset e Autoritetit të Konkurrencës dhe, si rregull, vetëm një herë</w:t>
      </w:r>
      <w:r w:rsidR="00B927D4" w:rsidRPr="00156DC9">
        <w:rPr>
          <w:rFonts w:ascii="Times New Roman" w:eastAsia="Times New Roman" w:hAnsi="Times New Roman" w:cs="Times New Roman"/>
          <w:sz w:val="24"/>
          <w:szCs w:val="24"/>
        </w:rPr>
        <w:t>,</w:t>
      </w:r>
      <w:r w:rsidR="00236E9E" w:rsidRPr="00156DC9">
        <w:rPr>
          <w:rFonts w:ascii="Times New Roman" w:eastAsia="Times New Roman" w:hAnsi="Times New Roman" w:cs="Times New Roman"/>
          <w:sz w:val="24"/>
          <w:szCs w:val="24"/>
        </w:rPr>
        <w:t xml:space="preserve"> pas njoftimit zyrtar të </w:t>
      </w:r>
      <w:r w:rsidR="00B927D4" w:rsidRPr="00156DC9">
        <w:rPr>
          <w:rFonts w:ascii="Times New Roman" w:eastAsia="Times New Roman" w:hAnsi="Times New Roman" w:cs="Times New Roman"/>
          <w:sz w:val="24"/>
          <w:szCs w:val="24"/>
        </w:rPr>
        <w:t>vendimit</w:t>
      </w:r>
      <w:r w:rsidR="00236E9E" w:rsidRPr="00156DC9">
        <w:rPr>
          <w:rFonts w:ascii="Times New Roman" w:eastAsia="Times New Roman" w:hAnsi="Times New Roman" w:cs="Times New Roman"/>
          <w:sz w:val="24"/>
          <w:szCs w:val="24"/>
        </w:rPr>
        <w:t>. Për më tepër, Autoriteti i Konkurrencës përpunon të dhënat personale në kuadër të zbatimit të këtij Udhëzimi në përputhje me legjislacionin në fuqi për mbrojtjen e të dhënave personale.</w:t>
      </w:r>
    </w:p>
    <w:p w14:paraId="41778D87"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227D547A"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II. IMUNITET NGA GJOBAT</w:t>
      </w:r>
    </w:p>
    <w:p w14:paraId="3D1E9D65"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5A88F3B2" w14:textId="34C624F8"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 xml:space="preserve">A. Kërkesat për </w:t>
      </w:r>
      <w:r w:rsidR="00DF2AF5" w:rsidRPr="00156DC9">
        <w:rPr>
          <w:rFonts w:ascii="Times New Roman" w:eastAsia="Times New Roman" w:hAnsi="Times New Roman" w:cs="Times New Roman"/>
          <w:b/>
          <w:bCs/>
          <w:sz w:val="24"/>
          <w:szCs w:val="24"/>
        </w:rPr>
        <w:t>tu</w:t>
      </w:r>
      <w:r w:rsidRPr="00156DC9">
        <w:rPr>
          <w:rFonts w:ascii="Times New Roman" w:eastAsia="Times New Roman" w:hAnsi="Times New Roman" w:cs="Times New Roman"/>
          <w:b/>
          <w:bCs/>
          <w:sz w:val="24"/>
          <w:szCs w:val="24"/>
        </w:rPr>
        <w:t xml:space="preserve"> kualifikuar për imunitet nga gjobat</w:t>
      </w:r>
    </w:p>
    <w:p w14:paraId="52F9E2DB"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5780DAAD" w14:textId="7777777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Autoriteti i Konkurrencës do të japë imunitet nga çdo gjobë që përndryshe do t'i ishte vendosur një ndërmarrjeje që zbulon pjesëmarrjen e saj në një kartel të dyshuar që ndikon në tregun shqiptar, nëse ajo ndërmarrje është e para që paraqet informacion dhe prova të cilat, sipas Autoritetit të Konkurrencës, do ta lejojnë atë të:</w:t>
      </w:r>
    </w:p>
    <w:p w14:paraId="05520700"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6E350E9" w14:textId="0098D76B" w:rsidR="003457C2" w:rsidRPr="00156DC9" w:rsidRDefault="003457C2" w:rsidP="003457C2">
      <w:pPr>
        <w:pStyle w:val="ListParagraph"/>
        <w:numPr>
          <w:ilvl w:val="0"/>
          <w:numId w:val="2"/>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të kryejë një inspektim të </w:t>
      </w:r>
      <w:r w:rsidR="00B927D4" w:rsidRPr="00156DC9">
        <w:rPr>
          <w:rFonts w:ascii="Times New Roman" w:eastAsia="Times New Roman" w:hAnsi="Times New Roman" w:cs="Times New Roman"/>
          <w:sz w:val="24"/>
          <w:szCs w:val="24"/>
        </w:rPr>
        <w:t>posa</w:t>
      </w:r>
      <w:r w:rsidR="00B927D4" w:rsidRPr="00156DC9">
        <w:t>ç</w:t>
      </w:r>
      <w:r w:rsidR="00B927D4" w:rsidRPr="00156DC9">
        <w:rPr>
          <w:rFonts w:ascii="Times New Roman" w:eastAsia="Times New Roman" w:hAnsi="Times New Roman" w:cs="Times New Roman"/>
          <w:sz w:val="24"/>
          <w:szCs w:val="24"/>
        </w:rPr>
        <w:t>ëm</w:t>
      </w:r>
      <w:r w:rsidRPr="00156DC9">
        <w:rPr>
          <w:rFonts w:ascii="Times New Roman" w:eastAsia="Times New Roman" w:hAnsi="Times New Roman" w:cs="Times New Roman"/>
          <w:sz w:val="24"/>
          <w:szCs w:val="24"/>
        </w:rPr>
        <w:t xml:space="preserve"> në lidhje me kartelin e supozuar; ose</w:t>
      </w:r>
    </w:p>
    <w:p w14:paraId="49A3C02D"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A106DC5" w14:textId="77777777" w:rsidR="003457C2" w:rsidRPr="00156DC9" w:rsidRDefault="003457C2" w:rsidP="003457C2">
      <w:pPr>
        <w:pStyle w:val="ListParagraph"/>
        <w:numPr>
          <w:ilvl w:val="0"/>
          <w:numId w:val="2"/>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lastRenderedPageBreak/>
        <w:t xml:space="preserve">të konstatojë shkelje të </w:t>
      </w:r>
      <w:r w:rsidRPr="00156DC9">
        <w:rPr>
          <w:rFonts w:ascii="Times New Roman" w:hAnsi="Times New Roman" w:cs="Times New Roman"/>
          <w:sz w:val="24"/>
          <w:szCs w:val="24"/>
        </w:rPr>
        <w:t xml:space="preserve">Ligjit Nr. 9121, datë 28.07.2003 "Për Mbrojtjen e Konkurrencës" </w:t>
      </w:r>
      <w:r w:rsidRPr="00156DC9">
        <w:rPr>
          <w:rFonts w:ascii="Times New Roman" w:eastAsia="Times New Roman" w:hAnsi="Times New Roman" w:cs="Times New Roman"/>
          <w:sz w:val="24"/>
          <w:szCs w:val="24"/>
        </w:rPr>
        <w:t>në lidhje me kartelin e pretenduar.</w:t>
      </w:r>
    </w:p>
    <w:p w14:paraId="534FD5DD"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8CC5B13" w14:textId="2B34376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Që Autoriteti i Konkurrencës të jetë në gjendje të kryejë një inspektim të </w:t>
      </w:r>
      <w:r w:rsidR="00B927D4" w:rsidRPr="00156DC9">
        <w:rPr>
          <w:rFonts w:ascii="Times New Roman" w:eastAsia="Times New Roman" w:hAnsi="Times New Roman" w:cs="Times New Roman"/>
          <w:sz w:val="24"/>
          <w:szCs w:val="24"/>
        </w:rPr>
        <w:t>posa</w:t>
      </w:r>
      <w:r w:rsidR="00B927D4" w:rsidRPr="00156DC9">
        <w:t>ç</w:t>
      </w:r>
      <w:r w:rsidR="00B927D4" w:rsidRPr="00156DC9">
        <w:rPr>
          <w:rFonts w:ascii="Times New Roman" w:eastAsia="Times New Roman" w:hAnsi="Times New Roman" w:cs="Times New Roman"/>
          <w:sz w:val="24"/>
          <w:szCs w:val="24"/>
        </w:rPr>
        <w:t xml:space="preserve">ëm </w:t>
      </w:r>
      <w:r w:rsidRPr="00156DC9">
        <w:rPr>
          <w:rFonts w:ascii="Times New Roman" w:eastAsia="Times New Roman" w:hAnsi="Times New Roman" w:cs="Times New Roman"/>
          <w:sz w:val="24"/>
          <w:szCs w:val="24"/>
        </w:rPr>
        <w:t>sipas kuptimit të pikës (8)(a), ndërmarrja duhet t'i ofrojë Autoritetit të Konkurrencës informacionin dhe provat e listuara më poshtë, në masën që kjo, sipas mendimit të Autoritetit të Konkurrencës, nuk do të rrezikonte inspektimet:</w:t>
      </w:r>
    </w:p>
    <w:p w14:paraId="12CEAEF0"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1E19E829" w14:textId="1720E424" w:rsidR="003457C2" w:rsidRPr="00156DC9" w:rsidRDefault="003457C2" w:rsidP="003457C2">
      <w:pPr>
        <w:pStyle w:val="ListParagraph"/>
        <w:numPr>
          <w:ilvl w:val="0"/>
          <w:numId w:val="3"/>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Një deklaratë e </w:t>
      </w:r>
      <w:r w:rsidR="000A1A75" w:rsidRPr="00156DC9">
        <w:rPr>
          <w:rFonts w:ascii="Times New Roman" w:eastAsia="Times New Roman" w:hAnsi="Times New Roman" w:cs="Times New Roman"/>
          <w:sz w:val="24"/>
          <w:szCs w:val="24"/>
        </w:rPr>
        <w:t>shoqëris</w:t>
      </w:r>
      <w:r w:rsidRPr="00156DC9">
        <w:rPr>
          <w:rFonts w:ascii="Times New Roman" w:eastAsia="Times New Roman" w:hAnsi="Times New Roman" w:cs="Times New Roman"/>
          <w:sz w:val="24"/>
          <w:szCs w:val="24"/>
        </w:rPr>
        <w:t>ë që përfshin, për aq sa di aplikanti në kohën e dorëzimit:</w:t>
      </w:r>
    </w:p>
    <w:p w14:paraId="62EC1E7F"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175AD16B" w14:textId="6150B7A8" w:rsidR="003457C2" w:rsidRPr="00156DC9" w:rsidRDefault="003457C2" w:rsidP="00446565">
      <w:pPr>
        <w:pStyle w:val="ListParagraph"/>
        <w:numPr>
          <w:ilvl w:val="0"/>
          <w:numId w:val="4"/>
        </w:numPr>
        <w:spacing w:after="0" w:line="240" w:lineRule="auto"/>
        <w:ind w:hanging="72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Një përshkrim </w:t>
      </w:r>
      <w:r w:rsidR="00446565" w:rsidRPr="00156DC9">
        <w:rPr>
          <w:rFonts w:ascii="Times New Roman" w:eastAsia="Times New Roman" w:hAnsi="Times New Roman" w:cs="Times New Roman"/>
          <w:sz w:val="24"/>
          <w:szCs w:val="24"/>
        </w:rPr>
        <w:t>të</w:t>
      </w:r>
      <w:r w:rsidRPr="00156DC9">
        <w:rPr>
          <w:rFonts w:ascii="Times New Roman" w:eastAsia="Times New Roman" w:hAnsi="Times New Roman" w:cs="Times New Roman"/>
          <w:sz w:val="24"/>
          <w:szCs w:val="24"/>
        </w:rPr>
        <w:t xml:space="preserve"> detajuar</w:t>
      </w:r>
      <w:r w:rsidR="00446565" w:rsidRPr="00156DC9">
        <w:rPr>
          <w:rFonts w:ascii="Times New Roman" w:eastAsia="Times New Roman" w:hAnsi="Times New Roman" w:cs="Times New Roman"/>
          <w:sz w:val="24"/>
          <w:szCs w:val="24"/>
        </w:rPr>
        <w:t xml:space="preserve"> të</w:t>
      </w:r>
      <w:r w:rsidRPr="00156DC9">
        <w:rPr>
          <w:rFonts w:ascii="Times New Roman" w:eastAsia="Times New Roman" w:hAnsi="Times New Roman" w:cs="Times New Roman"/>
          <w:sz w:val="24"/>
          <w:szCs w:val="24"/>
        </w:rPr>
        <w:t xml:space="preserve"> marrëveshjes së dyshuar të kartelit, duke përfshirë për shembull qëllimet, aktivitetet dhe funksionimin e tij; produktin ose shërbimin në fjalë, shtrirjen gjeografike, kohëzgjatjen dhe vëllimet e vlerësuara të tregut të prekura nga karteli i dyshuar; datat specifike, vendet, përmbajtjen dhe pjesëmarrësit në kontaktet e dyshuara të kartelit, si dhe të gjitha shpjegimet përkatëse në lidhje me provat e ofruara në mbështetje të kërkesës.</w:t>
      </w:r>
      <w:r w:rsidR="00446565" w:rsidRPr="00156DC9">
        <w:rPr>
          <w:rFonts w:ascii="Times New Roman" w:eastAsia="Times New Roman" w:hAnsi="Times New Roman" w:cs="Times New Roman"/>
          <w:sz w:val="24"/>
          <w:szCs w:val="24"/>
        </w:rPr>
        <w:t xml:space="preserve"> </w:t>
      </w:r>
    </w:p>
    <w:p w14:paraId="1220C333"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0DED4064" w14:textId="77777777"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Emri dhe adresa e personit juridik që paraqet kërkesën për imunitet, si dhe emrat dhe adresat e të gjitha ndërmarrjeve të tjera që marrin pjesë në kartelin e supozuar;</w:t>
      </w:r>
    </w:p>
    <w:p w14:paraId="61CBED08"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751284A" w14:textId="77777777"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Emrat, pozicionet, vendndodhjet e zyrave dhe, kur është e nevojshme, adresat e shtëpive të të gjithë individëve që, sipas dijenisë së aplikantit, janë ose kanë qenë të përfshirë në kartelin e supozuar, duke përfshirë ata individë që kanë qenë të përfshirë në emër të aplikantit;</w:t>
      </w:r>
    </w:p>
    <w:p w14:paraId="2F839DAA"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744431F" w14:textId="1AED94FA"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Informacion mbi autoritetet e tjera të konkurrencës, jashtë Republikës së Shqipërisë, të cilave u është drejtuar ose synohet t</w:t>
      </w:r>
      <w:r w:rsidR="00D95D00" w:rsidRPr="00156DC9">
        <w:rPr>
          <w:rFonts w:ascii="Times New Roman" w:eastAsia="Times New Roman" w:hAnsi="Times New Roman" w:cs="Times New Roman"/>
          <w:sz w:val="24"/>
          <w:szCs w:val="24"/>
        </w:rPr>
        <w:t>’i</w:t>
      </w:r>
      <w:r w:rsidRPr="00156DC9">
        <w:rPr>
          <w:rFonts w:ascii="Times New Roman" w:eastAsia="Times New Roman" w:hAnsi="Times New Roman" w:cs="Times New Roman"/>
          <w:sz w:val="24"/>
          <w:szCs w:val="24"/>
        </w:rPr>
        <w:t xml:space="preserve"> drejtohen në lidhje me kartelin e supozuar; dhe</w:t>
      </w:r>
    </w:p>
    <w:p w14:paraId="40CFD73A"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0080932E" w14:textId="41B29DDA" w:rsidR="003457C2" w:rsidRPr="00156DC9" w:rsidRDefault="003457C2" w:rsidP="003457C2">
      <w:pPr>
        <w:pStyle w:val="ListParagraph"/>
        <w:numPr>
          <w:ilvl w:val="0"/>
          <w:numId w:val="3"/>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Prova të tjera që lidhen me kartelin e supozuar në zotërim të aplikantit ose që i </w:t>
      </w:r>
      <w:r w:rsidR="00D95D00" w:rsidRPr="00156DC9">
        <w:rPr>
          <w:rFonts w:ascii="Times New Roman" w:eastAsia="Times New Roman" w:hAnsi="Times New Roman" w:cs="Times New Roman"/>
          <w:sz w:val="24"/>
          <w:szCs w:val="24"/>
        </w:rPr>
        <w:t>k</w:t>
      </w:r>
      <w:r w:rsidRPr="00156DC9">
        <w:rPr>
          <w:rFonts w:ascii="Times New Roman" w:eastAsia="Times New Roman" w:hAnsi="Times New Roman" w:cs="Times New Roman"/>
          <w:sz w:val="24"/>
          <w:szCs w:val="24"/>
        </w:rPr>
        <w:t>a në dispozicion në kohën e paraqitjes së kërkesës, duke përfshirë në veçanti çdo provë të njëkohshme me shkeljen.</w:t>
      </w:r>
    </w:p>
    <w:p w14:paraId="5F9B0DA5"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5A676D26" w14:textId="317A8936"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Imuniteti sipas pikës (8)(a) nuk do të jepet nëse, në kohën e paraqitjes së kërkesës, Autoriteti i Konkurrencës kishte prova të mjaftueshme për të miratuar një vendim për të kryer një inspektim në lidhje me kartelin e supozuar ose </w:t>
      </w:r>
      <w:r w:rsidR="00D95D00" w:rsidRPr="00156DC9">
        <w:rPr>
          <w:rFonts w:ascii="Times New Roman" w:eastAsia="Times New Roman" w:hAnsi="Times New Roman" w:cs="Times New Roman"/>
          <w:sz w:val="24"/>
          <w:szCs w:val="24"/>
        </w:rPr>
        <w:t xml:space="preserve">e </w:t>
      </w:r>
      <w:r w:rsidRPr="00156DC9">
        <w:rPr>
          <w:rFonts w:ascii="Times New Roman" w:eastAsia="Times New Roman" w:hAnsi="Times New Roman" w:cs="Times New Roman"/>
          <w:sz w:val="24"/>
          <w:szCs w:val="24"/>
        </w:rPr>
        <w:t>kishte kryer tashmë inspektim</w:t>
      </w:r>
      <w:r w:rsidR="00D95D00" w:rsidRPr="00156DC9">
        <w:rPr>
          <w:rFonts w:ascii="Times New Roman" w:eastAsia="Times New Roman" w:hAnsi="Times New Roman" w:cs="Times New Roman"/>
          <w:sz w:val="24"/>
          <w:szCs w:val="24"/>
        </w:rPr>
        <w:t>in</w:t>
      </w:r>
      <w:r w:rsidR="00892B39" w:rsidRPr="00156DC9">
        <w:rPr>
          <w:rFonts w:ascii="Times New Roman" w:eastAsia="Times New Roman" w:hAnsi="Times New Roman" w:cs="Times New Roman"/>
          <w:sz w:val="24"/>
          <w:szCs w:val="24"/>
        </w:rPr>
        <w:t xml:space="preserve"> në lidhje me kartelin</w:t>
      </w:r>
      <w:r w:rsidRPr="00156DC9">
        <w:rPr>
          <w:rFonts w:ascii="Times New Roman" w:eastAsia="Times New Roman" w:hAnsi="Times New Roman" w:cs="Times New Roman"/>
          <w:sz w:val="24"/>
          <w:szCs w:val="24"/>
        </w:rPr>
        <w:t>.</w:t>
      </w:r>
    </w:p>
    <w:p w14:paraId="4CD339EC"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5E61FAE2" w14:textId="7C5BB2BC"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Imuniteti sipas pikës (8)(b) do të jepet vetëm </w:t>
      </w:r>
      <w:r w:rsidR="00120582" w:rsidRPr="00156DC9">
        <w:rPr>
          <w:rFonts w:ascii="Times New Roman" w:eastAsia="Times New Roman" w:hAnsi="Times New Roman" w:cs="Times New Roman"/>
          <w:sz w:val="24"/>
          <w:szCs w:val="24"/>
        </w:rPr>
        <w:t>pas përmbushjes së</w:t>
      </w:r>
      <w:r w:rsidRPr="00156DC9">
        <w:rPr>
          <w:rFonts w:ascii="Times New Roman" w:eastAsia="Times New Roman" w:hAnsi="Times New Roman" w:cs="Times New Roman"/>
          <w:sz w:val="24"/>
          <w:szCs w:val="24"/>
        </w:rPr>
        <w:t xml:space="preserve"> kushte</w:t>
      </w:r>
      <w:r w:rsidR="0029469F" w:rsidRPr="00156DC9">
        <w:rPr>
          <w:rFonts w:ascii="Times New Roman" w:eastAsia="Times New Roman" w:hAnsi="Times New Roman" w:cs="Times New Roman"/>
          <w:sz w:val="24"/>
          <w:szCs w:val="24"/>
        </w:rPr>
        <w:t>ve</w:t>
      </w:r>
      <w:r w:rsidRPr="00156DC9">
        <w:rPr>
          <w:rFonts w:ascii="Times New Roman" w:eastAsia="Times New Roman" w:hAnsi="Times New Roman" w:cs="Times New Roman"/>
          <w:sz w:val="24"/>
          <w:szCs w:val="24"/>
        </w:rPr>
        <w:t xml:space="preserve"> kumulative që Autoriteti i Konkurrencës</w:t>
      </w:r>
      <w:r w:rsidR="0029469F" w:rsidRPr="00156DC9">
        <w:rPr>
          <w:rFonts w:ascii="Times New Roman" w:eastAsia="Times New Roman" w:hAnsi="Times New Roman" w:cs="Times New Roman"/>
          <w:sz w:val="24"/>
          <w:szCs w:val="24"/>
        </w:rPr>
        <w:t xml:space="preserve">, në kohën e paraqitjes së aplikimit, </w:t>
      </w:r>
      <w:r w:rsidRPr="00156DC9">
        <w:rPr>
          <w:rFonts w:ascii="Times New Roman" w:eastAsia="Times New Roman" w:hAnsi="Times New Roman" w:cs="Times New Roman"/>
          <w:sz w:val="24"/>
          <w:szCs w:val="24"/>
        </w:rPr>
        <w:t xml:space="preserve">nuk ka pasur prova të mjaftueshme për të gjetur një shkelje të Nenit 4 të Ligjit </w:t>
      </w:r>
      <w:r w:rsidRPr="00156DC9">
        <w:rPr>
          <w:rFonts w:ascii="Times New Roman" w:hAnsi="Times New Roman" w:cs="Times New Roman"/>
          <w:sz w:val="24"/>
          <w:szCs w:val="24"/>
        </w:rPr>
        <w:t xml:space="preserve">Nr. 9121, datë 28.07.2003 "Për Mbrojtjen e Konkurrencës" </w:t>
      </w:r>
      <w:r w:rsidRPr="00156DC9">
        <w:rPr>
          <w:rFonts w:ascii="Times New Roman" w:eastAsia="Times New Roman" w:hAnsi="Times New Roman" w:cs="Times New Roman"/>
          <w:sz w:val="24"/>
          <w:szCs w:val="24"/>
        </w:rPr>
        <w:t xml:space="preserve">në lidhje me kartelin e pretenduar dhe që asnjë ndërmarrjeje nuk i është dhënë imunitet i kushtëzuar nga gjobat sipas pikës (8)(a) në lidhje me kartelin e pretenduar. Për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kualifikuar, një ndërmarrje duhet të jetë e para që ofron prova bashkëkohore</w:t>
      </w:r>
      <w:r w:rsidR="00120582" w:rsidRPr="00156DC9">
        <w:rPr>
          <w:rFonts w:ascii="Times New Roman" w:eastAsia="Times New Roman" w:hAnsi="Times New Roman" w:cs="Times New Roman"/>
          <w:sz w:val="24"/>
          <w:szCs w:val="24"/>
        </w:rPr>
        <w:t xml:space="preserve"> dhe</w:t>
      </w:r>
      <w:r w:rsidRPr="00156DC9">
        <w:rPr>
          <w:rFonts w:ascii="Times New Roman" w:eastAsia="Times New Roman" w:hAnsi="Times New Roman" w:cs="Times New Roman"/>
          <w:sz w:val="24"/>
          <w:szCs w:val="24"/>
        </w:rPr>
        <w:t xml:space="preserve"> inkriminuese të kartelit të pretenduar, si dhe një deklaratë që përmban llojin e informacionit të specifikuar në pikën (9)(a), i cili do t'i mundësonte Autoritetit të Konkurrencës të gjente një shkelje të Nenit 4 të </w:t>
      </w:r>
      <w:r w:rsidRPr="00156DC9">
        <w:rPr>
          <w:rFonts w:ascii="Times New Roman" w:hAnsi="Times New Roman" w:cs="Times New Roman"/>
          <w:sz w:val="24"/>
          <w:szCs w:val="24"/>
        </w:rPr>
        <w:t xml:space="preserve">Ligjit </w:t>
      </w:r>
      <w:r w:rsidRPr="00156DC9">
        <w:rPr>
          <w:rFonts w:ascii="Times New Roman" w:eastAsia="Times New Roman" w:hAnsi="Times New Roman" w:cs="Times New Roman"/>
          <w:sz w:val="24"/>
          <w:szCs w:val="24"/>
        </w:rPr>
        <w:t>.</w:t>
      </w:r>
    </w:p>
    <w:p w14:paraId="6FE29C5F"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395D468" w14:textId="37793B88"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Përveç kushteve të përcaktuara në pikat (8)(a), (9) dhe (10) ose në pikat (8)(b) dhe 11, të gjitha kushtet e mëposhtme duhet të përmbushen në çdo rast për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kualifikuar për çdo imunitet nga gjob</w:t>
      </w:r>
      <w:r w:rsidR="00120582" w:rsidRPr="00156DC9">
        <w:rPr>
          <w:rFonts w:ascii="Times New Roman" w:eastAsia="Times New Roman" w:hAnsi="Times New Roman" w:cs="Times New Roman"/>
          <w:sz w:val="24"/>
          <w:szCs w:val="24"/>
        </w:rPr>
        <w:t>a</w:t>
      </w:r>
      <w:r w:rsidRPr="00156DC9">
        <w:rPr>
          <w:rFonts w:ascii="Times New Roman" w:eastAsia="Times New Roman" w:hAnsi="Times New Roman" w:cs="Times New Roman"/>
          <w:sz w:val="24"/>
          <w:szCs w:val="24"/>
        </w:rPr>
        <w:t>:</w:t>
      </w:r>
    </w:p>
    <w:p w14:paraId="06028934"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A564730" w14:textId="2908285D" w:rsidR="003457C2" w:rsidRPr="00156DC9" w:rsidRDefault="003457C2" w:rsidP="003457C2">
      <w:pPr>
        <w:pStyle w:val="ListParagraph"/>
        <w:numPr>
          <w:ilvl w:val="0"/>
          <w:numId w:val="5"/>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Ndërmarrja bashkëpunon sinqerisht, plotësisht, në mënyrë të vazhdueshme dhe me shpejtësi që nga momenti kur paraqet kërkesën e saj</w:t>
      </w:r>
      <w:r w:rsidR="00120582" w:rsidRPr="00156DC9">
        <w:rPr>
          <w:rFonts w:ascii="Times New Roman" w:eastAsia="Times New Roman" w:hAnsi="Times New Roman" w:cs="Times New Roman"/>
          <w:sz w:val="24"/>
          <w:szCs w:val="24"/>
        </w:rPr>
        <w:t xml:space="preserve"> dhe për</w:t>
      </w:r>
      <w:r w:rsidRPr="00156DC9">
        <w:rPr>
          <w:rFonts w:ascii="Times New Roman" w:eastAsia="Times New Roman" w:hAnsi="Times New Roman" w:cs="Times New Roman"/>
          <w:sz w:val="24"/>
          <w:szCs w:val="24"/>
        </w:rPr>
        <w:t>gjatë gjithë procedurës administrative të Autoritetit të Konkurrencës. Kjo përfshin:</w:t>
      </w:r>
    </w:p>
    <w:p w14:paraId="4AF5D839"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5474F01A" w14:textId="3E9E79A1"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duke i ofruar menjëherë Autoritetit të Konkurrencës të gjitha informacionet dhe provat përkatëse në lidhje me kartelin e supozuar që vijnë në zotërim të </w:t>
      </w:r>
      <w:r w:rsidR="00120582" w:rsidRPr="00156DC9">
        <w:rPr>
          <w:rFonts w:ascii="Times New Roman" w:eastAsia="Times New Roman" w:hAnsi="Times New Roman" w:cs="Times New Roman"/>
          <w:sz w:val="24"/>
          <w:szCs w:val="24"/>
        </w:rPr>
        <w:t>saj</w:t>
      </w:r>
      <w:r w:rsidRPr="00156DC9">
        <w:rPr>
          <w:rFonts w:ascii="Times New Roman" w:eastAsia="Times New Roman" w:hAnsi="Times New Roman" w:cs="Times New Roman"/>
          <w:sz w:val="24"/>
          <w:szCs w:val="24"/>
        </w:rPr>
        <w:t xml:space="preserve"> ose janë në dispozicion të </w:t>
      </w:r>
      <w:r w:rsidR="00120582" w:rsidRPr="00156DC9">
        <w:rPr>
          <w:rFonts w:ascii="Times New Roman" w:eastAsia="Times New Roman" w:hAnsi="Times New Roman" w:cs="Times New Roman"/>
          <w:sz w:val="24"/>
          <w:szCs w:val="24"/>
        </w:rPr>
        <w:t>saj</w:t>
      </w:r>
      <w:r w:rsidRPr="00156DC9">
        <w:rPr>
          <w:rFonts w:ascii="Times New Roman" w:eastAsia="Times New Roman" w:hAnsi="Times New Roman" w:cs="Times New Roman"/>
          <w:sz w:val="24"/>
          <w:szCs w:val="24"/>
        </w:rPr>
        <w:t>;</w:t>
      </w:r>
    </w:p>
    <w:p w14:paraId="252BF6C7"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2A70843" w14:textId="77777777"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duke mbetur në dispozicion të Autoritetit të Konkurrencës për t'iu përgjigjur menjëherë çdo kërkese që mund të kontribuojë në përcaktimin e fakteve;</w:t>
      </w:r>
    </w:p>
    <w:p w14:paraId="7CF4AF41"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51F4444D" w14:textId="23DF3793"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vënia në dispozicion </w:t>
      </w:r>
      <w:r w:rsidR="00120582" w:rsidRPr="00156DC9">
        <w:rPr>
          <w:rFonts w:ascii="Times New Roman" w:eastAsia="Times New Roman" w:hAnsi="Times New Roman" w:cs="Times New Roman"/>
          <w:sz w:val="24"/>
          <w:szCs w:val="24"/>
        </w:rPr>
        <w:t>e</w:t>
      </w:r>
      <w:r w:rsidRPr="00156DC9">
        <w:rPr>
          <w:rFonts w:ascii="Times New Roman" w:eastAsia="Times New Roman" w:hAnsi="Times New Roman" w:cs="Times New Roman"/>
          <w:sz w:val="24"/>
          <w:szCs w:val="24"/>
        </w:rPr>
        <w:t xml:space="preserve"> punonjësve dhe drejtorëve aktualë (dhe, nëse është e mundur, të ish</w:t>
      </w:r>
      <w:r w:rsidR="00120582" w:rsidRPr="00156DC9">
        <w:rPr>
          <w:rFonts w:ascii="Times New Roman" w:eastAsia="Times New Roman" w:hAnsi="Times New Roman" w:cs="Times New Roman"/>
          <w:sz w:val="24"/>
          <w:szCs w:val="24"/>
        </w:rPr>
        <w:t xml:space="preserve"> </w:t>
      </w:r>
      <w:r w:rsidRPr="00156DC9">
        <w:rPr>
          <w:rFonts w:ascii="Times New Roman" w:eastAsia="Times New Roman" w:hAnsi="Times New Roman" w:cs="Times New Roman"/>
          <w:sz w:val="24"/>
          <w:szCs w:val="24"/>
        </w:rPr>
        <w:t>punonjësv</w:t>
      </w:r>
      <w:r w:rsidR="00120582" w:rsidRPr="00156DC9">
        <w:rPr>
          <w:rFonts w:ascii="Times New Roman" w:eastAsia="Times New Roman" w:hAnsi="Times New Roman" w:cs="Times New Roman"/>
          <w:sz w:val="24"/>
          <w:szCs w:val="24"/>
        </w:rPr>
        <w:t>e</w:t>
      </w:r>
      <w:r w:rsidRPr="00156DC9">
        <w:rPr>
          <w:rFonts w:ascii="Times New Roman" w:eastAsia="Times New Roman" w:hAnsi="Times New Roman" w:cs="Times New Roman"/>
          <w:sz w:val="24"/>
          <w:szCs w:val="24"/>
        </w:rPr>
        <w:t xml:space="preserve"> dhe drejtorëve</w:t>
      </w:r>
      <w:r w:rsidR="00120582"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për intervista me Autoritetin e Konkurrencës;</w:t>
      </w:r>
    </w:p>
    <w:p w14:paraId="22ED2932"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7F523A3A" w14:textId="6B84E5C5"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mosshkatërrimi, </w:t>
      </w:r>
      <w:r w:rsidR="00120582" w:rsidRPr="00156DC9">
        <w:rPr>
          <w:rFonts w:ascii="Times New Roman" w:eastAsia="Times New Roman" w:hAnsi="Times New Roman" w:cs="Times New Roman"/>
          <w:sz w:val="24"/>
          <w:szCs w:val="24"/>
        </w:rPr>
        <w:t>mos</w:t>
      </w:r>
      <w:r w:rsidRPr="00156DC9">
        <w:rPr>
          <w:rFonts w:ascii="Times New Roman" w:eastAsia="Times New Roman" w:hAnsi="Times New Roman" w:cs="Times New Roman"/>
          <w:sz w:val="24"/>
          <w:szCs w:val="24"/>
        </w:rPr>
        <w:t>falsifikimi ose fshehja e informacionit ose provave përkatëse që lidhen me kartelin e supozuar; dhe</w:t>
      </w:r>
    </w:p>
    <w:p w14:paraId="1090C5D3"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1D01E1C8" w14:textId="5EEBD0D3"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moszbulimi i faktit ose i ndonjë pjese të përmbajtjes së aplikimit të </w:t>
      </w:r>
      <w:r w:rsidR="00120582" w:rsidRPr="00156DC9">
        <w:rPr>
          <w:rFonts w:ascii="Times New Roman" w:eastAsia="Times New Roman" w:hAnsi="Times New Roman" w:cs="Times New Roman"/>
          <w:sz w:val="24"/>
          <w:szCs w:val="24"/>
        </w:rPr>
        <w:t>saj</w:t>
      </w:r>
      <w:r w:rsidRPr="00156DC9">
        <w:rPr>
          <w:rFonts w:ascii="Times New Roman" w:eastAsia="Times New Roman" w:hAnsi="Times New Roman" w:cs="Times New Roman"/>
          <w:sz w:val="24"/>
          <w:szCs w:val="24"/>
        </w:rPr>
        <w:t xml:space="preserve"> përpara se Autoriteti i Konkurrencës të ketë lëshuar një </w:t>
      </w:r>
      <w:r w:rsidR="00120582" w:rsidRPr="00156DC9">
        <w:rPr>
          <w:rFonts w:ascii="Times New Roman" w:eastAsia="Times New Roman" w:hAnsi="Times New Roman" w:cs="Times New Roman"/>
          <w:sz w:val="24"/>
          <w:szCs w:val="24"/>
        </w:rPr>
        <w:t xml:space="preserve">vendim </w:t>
      </w:r>
      <w:r w:rsidRPr="00156DC9">
        <w:rPr>
          <w:rFonts w:ascii="Times New Roman" w:eastAsia="Times New Roman" w:hAnsi="Times New Roman" w:cs="Times New Roman"/>
          <w:sz w:val="24"/>
          <w:szCs w:val="24"/>
        </w:rPr>
        <w:t>në lidhje me rastin, përveç nëse është rënë dakord ndryshe;</w:t>
      </w:r>
    </w:p>
    <w:p w14:paraId="6C3F7CFC"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5AAACCC0" w14:textId="635308EA" w:rsidR="003457C2" w:rsidRPr="00156DC9" w:rsidRDefault="003457C2" w:rsidP="003457C2">
      <w:pPr>
        <w:pStyle w:val="ListParagraph"/>
        <w:numPr>
          <w:ilvl w:val="0"/>
          <w:numId w:val="5"/>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Ndërmarrja i </w:t>
      </w:r>
      <w:r w:rsidR="00DB0987" w:rsidRPr="00156DC9">
        <w:rPr>
          <w:rFonts w:ascii="Times New Roman" w:eastAsia="Times New Roman" w:hAnsi="Times New Roman" w:cs="Times New Roman"/>
          <w:sz w:val="24"/>
          <w:szCs w:val="24"/>
        </w:rPr>
        <w:t>ka dhënë</w:t>
      </w:r>
      <w:r w:rsidRPr="00156DC9">
        <w:rPr>
          <w:rFonts w:ascii="Times New Roman" w:eastAsia="Times New Roman" w:hAnsi="Times New Roman" w:cs="Times New Roman"/>
          <w:sz w:val="24"/>
          <w:szCs w:val="24"/>
        </w:rPr>
        <w:t xml:space="preserve"> fund përfshirjes së saj në kartelin e dyshuar menjëherë pas aplikimit të saj, përveç asaj që, sipas mendimit të Autoritetit të Konkurrencës, do të ishte e nevojshme në mënyrë të arsyeshme për të ruajtur integritetin e inspektimeve;</w:t>
      </w:r>
    </w:p>
    <w:p w14:paraId="657DCFAB"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694BEDF" w14:textId="31774A1D" w:rsidR="003457C2" w:rsidRPr="00156DC9" w:rsidRDefault="003457C2" w:rsidP="003457C2">
      <w:pPr>
        <w:pStyle w:val="ListParagraph"/>
        <w:numPr>
          <w:ilvl w:val="0"/>
          <w:numId w:val="5"/>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Kur ndërmarrja mendon të paraqesë kërkesën e saj pranë Autoritetit të Konkurrencës, ajo nuk duhet të ketë shkatërruar, falsifikuar ose fshehur provat e kartelit të supozuar dhe as të ketë zbuluar faktin ose ndonjë pjesë të përmbajtjes së kërkesës së saj të </w:t>
      </w:r>
      <w:r w:rsidR="00B927D4" w:rsidRPr="00156DC9">
        <w:rPr>
          <w:rFonts w:ascii="Times New Roman" w:eastAsia="Times New Roman" w:hAnsi="Times New Roman" w:cs="Times New Roman"/>
          <w:sz w:val="24"/>
          <w:szCs w:val="24"/>
        </w:rPr>
        <w:t>posa</w:t>
      </w:r>
      <w:r w:rsidR="00B927D4" w:rsidRPr="00156DC9">
        <w:t>ç</w:t>
      </w:r>
      <w:r w:rsidR="00B927D4" w:rsidRPr="00156DC9">
        <w:rPr>
          <w:rFonts w:ascii="Times New Roman" w:eastAsia="Times New Roman" w:hAnsi="Times New Roman" w:cs="Times New Roman"/>
          <w:sz w:val="24"/>
          <w:szCs w:val="24"/>
        </w:rPr>
        <w:t>me</w:t>
      </w:r>
      <w:r w:rsidRPr="00156DC9">
        <w:rPr>
          <w:rFonts w:ascii="Times New Roman" w:eastAsia="Times New Roman" w:hAnsi="Times New Roman" w:cs="Times New Roman"/>
          <w:sz w:val="24"/>
          <w:szCs w:val="24"/>
        </w:rPr>
        <w:t>, përveçse para autoriteteve të tjera të konkurrencës.</w:t>
      </w:r>
    </w:p>
    <w:p w14:paraId="336B2C22"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188D3E4" w14:textId="3E2094D3" w:rsidR="003457C2" w:rsidRPr="00156DC9" w:rsidRDefault="003457C2" w:rsidP="00DB0987">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Një ndërmarrje që ndërmor</w:t>
      </w:r>
      <w:r w:rsidR="00DB0987" w:rsidRPr="00156DC9">
        <w:rPr>
          <w:rFonts w:ascii="Times New Roman" w:eastAsia="Times New Roman" w:hAnsi="Times New Roman" w:cs="Times New Roman"/>
          <w:sz w:val="24"/>
          <w:szCs w:val="24"/>
        </w:rPr>
        <w:t>r</w:t>
      </w:r>
      <w:r w:rsidRPr="00156DC9">
        <w:rPr>
          <w:rFonts w:ascii="Times New Roman" w:eastAsia="Times New Roman" w:hAnsi="Times New Roman" w:cs="Times New Roman"/>
          <w:sz w:val="24"/>
          <w:szCs w:val="24"/>
        </w:rPr>
        <w:t xml:space="preserve">i hapa për të detyruar ndërmarrje të tjera të bashkohen me kartelin ose të qëndrojnë në të nuk kualifikohet për imunitet nga gjobat. </w:t>
      </w:r>
      <w:r w:rsidR="00DB0987" w:rsidRPr="00156DC9">
        <w:rPr>
          <w:rFonts w:ascii="Times New Roman" w:eastAsia="Times New Roman" w:hAnsi="Times New Roman" w:cs="Times New Roman"/>
          <w:sz w:val="24"/>
          <w:szCs w:val="24"/>
        </w:rPr>
        <w:t>Sidoqoftë, a</w:t>
      </w:r>
      <w:r w:rsidRPr="00156DC9">
        <w:rPr>
          <w:rFonts w:ascii="Times New Roman" w:eastAsia="Times New Roman" w:hAnsi="Times New Roman" w:cs="Times New Roman"/>
          <w:sz w:val="24"/>
          <w:szCs w:val="24"/>
        </w:rPr>
        <w:t>jo mund të kualifikohet për një ulje të gjobave nëse përmbush kërkesat përkatëse dhe i plotëson të gjitha kushtet për këtë qëllim.</w:t>
      </w:r>
    </w:p>
    <w:p w14:paraId="6935ACDD"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4B358EB9" w14:textId="2FBF19DD"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B. Sistemi i Shënuesve</w:t>
      </w:r>
      <w:r w:rsidR="00DB0987" w:rsidRPr="00156DC9">
        <w:rPr>
          <w:rFonts w:ascii="Times New Roman" w:eastAsia="Times New Roman" w:hAnsi="Times New Roman" w:cs="Times New Roman"/>
          <w:b/>
          <w:bCs/>
          <w:sz w:val="24"/>
          <w:szCs w:val="24"/>
        </w:rPr>
        <w:t xml:space="preserve"> (</w:t>
      </w:r>
      <w:r w:rsidR="00145AB1" w:rsidRPr="00156DC9">
        <w:rPr>
          <w:rFonts w:ascii="Times New Roman" w:eastAsia="Times New Roman" w:hAnsi="Times New Roman" w:cs="Times New Roman"/>
          <w:b/>
          <w:bCs/>
          <w:i/>
          <w:iCs/>
          <w:sz w:val="24"/>
          <w:szCs w:val="24"/>
        </w:rPr>
        <w:t>M</w:t>
      </w:r>
      <w:r w:rsidR="00DB0987" w:rsidRPr="00156DC9">
        <w:rPr>
          <w:rFonts w:ascii="Times New Roman" w:eastAsia="Times New Roman" w:hAnsi="Times New Roman" w:cs="Times New Roman"/>
          <w:b/>
          <w:bCs/>
          <w:i/>
          <w:iCs/>
          <w:sz w:val="24"/>
          <w:szCs w:val="24"/>
        </w:rPr>
        <w:t>arker</w:t>
      </w:r>
      <w:r w:rsidR="00DB0987" w:rsidRPr="00156DC9">
        <w:rPr>
          <w:rFonts w:ascii="Times New Roman" w:eastAsia="Times New Roman" w:hAnsi="Times New Roman" w:cs="Times New Roman"/>
          <w:b/>
          <w:bCs/>
          <w:sz w:val="24"/>
          <w:szCs w:val="24"/>
        </w:rPr>
        <w:t>)</w:t>
      </w:r>
    </w:p>
    <w:p w14:paraId="60B13362"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B9161EC" w14:textId="7F16C9EE" w:rsidR="007A0375" w:rsidRPr="00156DC9" w:rsidRDefault="003457C2" w:rsidP="007A0375">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Një ndërmarrje që dëshiron të aplikojë për imunitet ose ulje të gjobave mund të kërkojë një shënues</w:t>
      </w:r>
      <w:r w:rsidR="00145AB1" w:rsidRPr="00156DC9">
        <w:rPr>
          <w:rFonts w:ascii="Times New Roman" w:eastAsia="Times New Roman" w:hAnsi="Times New Roman" w:cs="Times New Roman"/>
          <w:sz w:val="24"/>
          <w:szCs w:val="24"/>
        </w:rPr>
        <w:t xml:space="preserve"> (</w:t>
      </w:r>
      <w:r w:rsidR="00145AB1" w:rsidRPr="00156DC9">
        <w:rPr>
          <w:rFonts w:ascii="Times New Roman" w:eastAsia="Times New Roman" w:hAnsi="Times New Roman" w:cs="Times New Roman"/>
          <w:i/>
          <w:iCs/>
          <w:sz w:val="24"/>
          <w:szCs w:val="24"/>
        </w:rPr>
        <w:t>marker</w:t>
      </w:r>
      <w:r w:rsidR="00145AB1"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nga Autoriteti i Konkurrencës në mënyrë që të sigurojë pozicionin e saj sipas radhës së marrjes së aplikimeve.</w:t>
      </w:r>
    </w:p>
    <w:p w14:paraId="51EE1F63" w14:textId="77777777" w:rsidR="007A0375" w:rsidRPr="00156DC9" w:rsidRDefault="007A0375" w:rsidP="007A0375">
      <w:pPr>
        <w:pStyle w:val="ListParagraph"/>
        <w:spacing w:after="0" w:line="240" w:lineRule="auto"/>
        <w:ind w:left="540"/>
        <w:jc w:val="both"/>
        <w:rPr>
          <w:rFonts w:ascii="Times New Roman" w:eastAsia="Times New Roman" w:hAnsi="Times New Roman" w:cs="Times New Roman"/>
          <w:sz w:val="24"/>
          <w:szCs w:val="24"/>
        </w:rPr>
      </w:pPr>
    </w:p>
    <w:p w14:paraId="4DBBA4D1" w14:textId="70E3943A" w:rsidR="003457C2" w:rsidRPr="00156DC9" w:rsidRDefault="003457C2" w:rsidP="007A0375">
      <w:pPr>
        <w:pStyle w:val="ListParagraph"/>
        <w:spacing w:after="0" w:line="240" w:lineRule="auto"/>
        <w:ind w:left="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Dhënia e një shënuesi </w:t>
      </w:r>
      <w:r w:rsidR="00145AB1" w:rsidRPr="00156DC9">
        <w:rPr>
          <w:rFonts w:ascii="Times New Roman" w:eastAsia="Times New Roman" w:hAnsi="Times New Roman" w:cs="Times New Roman"/>
          <w:sz w:val="24"/>
          <w:szCs w:val="24"/>
        </w:rPr>
        <w:t>(</w:t>
      </w:r>
      <w:r w:rsidR="00145AB1" w:rsidRPr="00156DC9">
        <w:rPr>
          <w:rFonts w:ascii="Times New Roman" w:eastAsia="Times New Roman" w:hAnsi="Times New Roman" w:cs="Times New Roman"/>
          <w:i/>
          <w:iCs/>
          <w:sz w:val="24"/>
          <w:szCs w:val="24"/>
        </w:rPr>
        <w:t>markeri</w:t>
      </w:r>
      <w:r w:rsidR="00145AB1" w:rsidRPr="00156DC9">
        <w:rPr>
          <w:rFonts w:ascii="Times New Roman" w:eastAsia="Times New Roman" w:hAnsi="Times New Roman" w:cs="Times New Roman"/>
          <w:sz w:val="24"/>
          <w:szCs w:val="24"/>
        </w:rPr>
        <w:t xml:space="preserve">) </w:t>
      </w:r>
      <w:r w:rsidRPr="00156DC9">
        <w:rPr>
          <w:rFonts w:ascii="Times New Roman" w:eastAsia="Times New Roman" w:hAnsi="Times New Roman" w:cs="Times New Roman"/>
          <w:sz w:val="24"/>
          <w:szCs w:val="24"/>
        </w:rPr>
        <w:t xml:space="preserve">do të mbrojë pozicionin e aplikuesit në radhën e lehtësimit, me kusht që ndërmarrja ta </w:t>
      </w:r>
      <w:r w:rsidR="00145AB1" w:rsidRPr="00156DC9">
        <w:rPr>
          <w:rFonts w:ascii="Times New Roman" w:eastAsia="Times New Roman" w:hAnsi="Times New Roman" w:cs="Times New Roman"/>
          <w:sz w:val="24"/>
          <w:szCs w:val="24"/>
        </w:rPr>
        <w:t>plotësojë</w:t>
      </w:r>
      <w:r w:rsidRPr="00156DC9">
        <w:rPr>
          <w:rFonts w:ascii="Times New Roman" w:eastAsia="Times New Roman" w:hAnsi="Times New Roman" w:cs="Times New Roman"/>
          <w:sz w:val="24"/>
          <w:szCs w:val="24"/>
        </w:rPr>
        <w:t xml:space="preserve"> kërkesën e saj brenda afatit kohor të përcaktuar nga Autoriteti i Konkurrencës. Një shënues </w:t>
      </w:r>
      <w:r w:rsidR="00145AB1" w:rsidRPr="00156DC9">
        <w:rPr>
          <w:rFonts w:ascii="Times New Roman" w:eastAsia="Times New Roman" w:hAnsi="Times New Roman" w:cs="Times New Roman"/>
          <w:sz w:val="24"/>
          <w:szCs w:val="24"/>
        </w:rPr>
        <w:t>(</w:t>
      </w:r>
      <w:r w:rsidR="00145AB1" w:rsidRPr="00156DC9">
        <w:rPr>
          <w:rFonts w:ascii="Times New Roman" w:eastAsia="Times New Roman" w:hAnsi="Times New Roman" w:cs="Times New Roman"/>
          <w:i/>
          <w:iCs/>
          <w:sz w:val="24"/>
          <w:szCs w:val="24"/>
        </w:rPr>
        <w:t>marker</w:t>
      </w:r>
      <w:r w:rsidR="00145AB1" w:rsidRPr="00156DC9">
        <w:rPr>
          <w:rFonts w:ascii="Times New Roman" w:eastAsia="Times New Roman" w:hAnsi="Times New Roman" w:cs="Times New Roman"/>
          <w:sz w:val="24"/>
          <w:szCs w:val="24"/>
        </w:rPr>
        <w:t xml:space="preserve">) </w:t>
      </w:r>
      <w:r w:rsidRPr="00156DC9">
        <w:rPr>
          <w:rFonts w:ascii="Times New Roman" w:eastAsia="Times New Roman" w:hAnsi="Times New Roman" w:cs="Times New Roman"/>
          <w:sz w:val="24"/>
          <w:szCs w:val="24"/>
        </w:rPr>
        <w:t xml:space="preserve">nuk </w:t>
      </w:r>
      <w:r w:rsidR="00145AB1" w:rsidRPr="00156DC9">
        <w:rPr>
          <w:rFonts w:ascii="Times New Roman" w:eastAsia="Times New Roman" w:hAnsi="Times New Roman" w:cs="Times New Roman"/>
          <w:sz w:val="24"/>
          <w:szCs w:val="24"/>
        </w:rPr>
        <w:t>jep</w:t>
      </w:r>
      <w:r w:rsidRPr="00156DC9">
        <w:rPr>
          <w:rFonts w:ascii="Times New Roman" w:eastAsia="Times New Roman" w:hAnsi="Times New Roman" w:cs="Times New Roman"/>
          <w:sz w:val="24"/>
          <w:szCs w:val="24"/>
        </w:rPr>
        <w:t xml:space="preserve"> asnjë të drejtë thelbësore për imunitet ose ulje të gjobave, </w:t>
      </w:r>
      <w:r w:rsidR="00145AB1" w:rsidRPr="00156DC9">
        <w:rPr>
          <w:rFonts w:ascii="Times New Roman" w:eastAsia="Times New Roman" w:hAnsi="Times New Roman" w:cs="Times New Roman"/>
          <w:sz w:val="24"/>
          <w:szCs w:val="24"/>
        </w:rPr>
        <w:t>pasi këto</w:t>
      </w:r>
      <w:r w:rsidRPr="00156DC9">
        <w:rPr>
          <w:rFonts w:ascii="Times New Roman" w:eastAsia="Times New Roman" w:hAnsi="Times New Roman" w:cs="Times New Roman"/>
          <w:sz w:val="24"/>
          <w:szCs w:val="24"/>
        </w:rPr>
        <w:t xml:space="preserve"> vlerësohen vetëm pas dorëzimit të kërkes</w:t>
      </w:r>
      <w:r w:rsidR="00145AB1" w:rsidRPr="00156DC9">
        <w:rPr>
          <w:rFonts w:ascii="Times New Roman" w:eastAsia="Times New Roman" w:hAnsi="Times New Roman" w:cs="Times New Roman"/>
          <w:sz w:val="24"/>
          <w:szCs w:val="24"/>
        </w:rPr>
        <w:t>ës</w:t>
      </w:r>
      <w:r w:rsidRPr="00156DC9">
        <w:rPr>
          <w:rFonts w:ascii="Times New Roman" w:eastAsia="Times New Roman" w:hAnsi="Times New Roman" w:cs="Times New Roman"/>
          <w:sz w:val="24"/>
          <w:szCs w:val="24"/>
        </w:rPr>
        <w:t xml:space="preserve"> </w:t>
      </w:r>
      <w:r w:rsidR="00145AB1" w:rsidRPr="00156DC9">
        <w:rPr>
          <w:rFonts w:ascii="Times New Roman" w:eastAsia="Times New Roman" w:hAnsi="Times New Roman" w:cs="Times New Roman"/>
          <w:sz w:val="24"/>
          <w:szCs w:val="24"/>
        </w:rPr>
        <w:t>s</w:t>
      </w:r>
      <w:r w:rsidRPr="00156DC9">
        <w:rPr>
          <w:rFonts w:ascii="Times New Roman" w:eastAsia="Times New Roman" w:hAnsi="Times New Roman" w:cs="Times New Roman"/>
          <w:sz w:val="24"/>
          <w:szCs w:val="24"/>
        </w:rPr>
        <w:t>ë plotë.</w:t>
      </w:r>
    </w:p>
    <w:p w14:paraId="32AEBE6B"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74CBD633" w14:textId="203CE8E5"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Një sh</w:t>
      </w:r>
      <w:r w:rsidR="00145AB1" w:rsidRPr="00156DC9">
        <w:rPr>
          <w:rFonts w:ascii="Times New Roman" w:eastAsia="Times New Roman" w:hAnsi="Times New Roman" w:cs="Times New Roman"/>
          <w:sz w:val="24"/>
          <w:szCs w:val="24"/>
        </w:rPr>
        <w:t>ë</w:t>
      </w:r>
      <w:r w:rsidRPr="00156DC9">
        <w:rPr>
          <w:rFonts w:ascii="Times New Roman" w:eastAsia="Times New Roman" w:hAnsi="Times New Roman" w:cs="Times New Roman"/>
          <w:sz w:val="24"/>
          <w:szCs w:val="24"/>
        </w:rPr>
        <w:t>n</w:t>
      </w:r>
      <w:r w:rsidR="00145AB1" w:rsidRPr="00156DC9">
        <w:rPr>
          <w:rFonts w:ascii="Times New Roman" w:eastAsia="Times New Roman" w:hAnsi="Times New Roman" w:cs="Times New Roman"/>
          <w:sz w:val="24"/>
          <w:szCs w:val="24"/>
        </w:rPr>
        <w:t>ues</w:t>
      </w:r>
      <w:r w:rsidRPr="00156DC9">
        <w:rPr>
          <w:rFonts w:ascii="Times New Roman" w:eastAsia="Times New Roman" w:hAnsi="Times New Roman" w:cs="Times New Roman"/>
          <w:sz w:val="24"/>
          <w:szCs w:val="24"/>
        </w:rPr>
        <w:t xml:space="preserve"> </w:t>
      </w:r>
      <w:r w:rsidR="00145AB1" w:rsidRPr="00156DC9">
        <w:rPr>
          <w:rFonts w:ascii="Times New Roman" w:eastAsia="Times New Roman" w:hAnsi="Times New Roman" w:cs="Times New Roman"/>
          <w:sz w:val="24"/>
          <w:szCs w:val="24"/>
        </w:rPr>
        <w:t>(</w:t>
      </w:r>
      <w:r w:rsidR="00145AB1" w:rsidRPr="00156DC9">
        <w:rPr>
          <w:rFonts w:ascii="Times New Roman" w:eastAsia="Times New Roman" w:hAnsi="Times New Roman" w:cs="Times New Roman"/>
          <w:i/>
          <w:iCs/>
          <w:sz w:val="24"/>
          <w:szCs w:val="24"/>
        </w:rPr>
        <w:t>marker</w:t>
      </w:r>
      <w:r w:rsidR="00145AB1" w:rsidRPr="00156DC9">
        <w:rPr>
          <w:rFonts w:ascii="Times New Roman" w:eastAsia="Times New Roman" w:hAnsi="Times New Roman" w:cs="Times New Roman"/>
          <w:sz w:val="24"/>
          <w:szCs w:val="24"/>
        </w:rPr>
        <w:t xml:space="preserve">) </w:t>
      </w:r>
      <w:r w:rsidRPr="00156DC9">
        <w:rPr>
          <w:rFonts w:ascii="Times New Roman" w:eastAsia="Times New Roman" w:hAnsi="Times New Roman" w:cs="Times New Roman"/>
          <w:sz w:val="24"/>
          <w:szCs w:val="24"/>
        </w:rPr>
        <w:t>do të jepet kur ndërmarrja ofron informacion fillestar të mjaftueshëm për të identifikuar:</w:t>
      </w:r>
    </w:p>
    <w:p w14:paraId="4AE55FBB" w14:textId="5791CBA8" w:rsidR="003457C2" w:rsidRPr="00156DC9" w:rsidRDefault="003457C2" w:rsidP="003457C2">
      <w:pPr>
        <w:pStyle w:val="NormalWeb"/>
        <w:numPr>
          <w:ilvl w:val="0"/>
          <w:numId w:val="7"/>
        </w:numPr>
        <w:ind w:left="540" w:firstLine="360"/>
      </w:pPr>
      <w:r w:rsidRPr="00156DC9">
        <w:t>emri</w:t>
      </w:r>
      <w:r w:rsidR="00145AB1" w:rsidRPr="00156DC9">
        <w:t>n</w:t>
      </w:r>
      <w:r w:rsidRPr="00156DC9">
        <w:t xml:space="preserve"> dhe adres</w:t>
      </w:r>
      <w:r w:rsidR="00145AB1" w:rsidRPr="00156DC9">
        <w:t>ën</w:t>
      </w:r>
      <w:r w:rsidRPr="00156DC9">
        <w:t xml:space="preserve"> e saj;</w:t>
      </w:r>
    </w:p>
    <w:p w14:paraId="5C9676DA" w14:textId="77777777" w:rsidR="003457C2" w:rsidRPr="00156DC9" w:rsidRDefault="003457C2" w:rsidP="003457C2">
      <w:pPr>
        <w:pStyle w:val="NormalWeb"/>
        <w:numPr>
          <w:ilvl w:val="0"/>
          <w:numId w:val="7"/>
        </w:numPr>
        <w:ind w:left="540" w:firstLine="360"/>
      </w:pPr>
      <w:r w:rsidRPr="00156DC9">
        <w:t>pjesëmarrësit e tjerë në kartelin e supozuar;</w:t>
      </w:r>
    </w:p>
    <w:p w14:paraId="135A74F2" w14:textId="77777777" w:rsidR="003457C2" w:rsidRPr="00156DC9" w:rsidRDefault="003457C2" w:rsidP="003457C2">
      <w:pPr>
        <w:pStyle w:val="NormalWeb"/>
        <w:numPr>
          <w:ilvl w:val="0"/>
          <w:numId w:val="7"/>
        </w:numPr>
        <w:ind w:left="540" w:firstLine="360"/>
      </w:pPr>
      <w:r w:rsidRPr="00156DC9">
        <w:t>produktet ose shërbimet e prekura;</w:t>
      </w:r>
    </w:p>
    <w:p w14:paraId="10452309" w14:textId="77777777" w:rsidR="003457C2" w:rsidRPr="00156DC9" w:rsidRDefault="003457C2" w:rsidP="003457C2">
      <w:pPr>
        <w:pStyle w:val="NormalWeb"/>
        <w:numPr>
          <w:ilvl w:val="0"/>
          <w:numId w:val="7"/>
        </w:numPr>
        <w:ind w:left="540" w:firstLine="360"/>
      </w:pPr>
      <w:r w:rsidRPr="00156DC9">
        <w:t>shtrirja gjeografike;</w:t>
      </w:r>
    </w:p>
    <w:p w14:paraId="475DCFCF" w14:textId="77777777" w:rsidR="003457C2" w:rsidRPr="00156DC9" w:rsidRDefault="003457C2" w:rsidP="003457C2">
      <w:pPr>
        <w:pStyle w:val="NormalWeb"/>
        <w:numPr>
          <w:ilvl w:val="0"/>
          <w:numId w:val="7"/>
        </w:numPr>
        <w:ind w:left="540" w:firstLine="360"/>
      </w:pPr>
      <w:r w:rsidRPr="00156DC9">
        <w:t>kohëzgjatja e parashikuar e kartelit të supozuar; dhe</w:t>
      </w:r>
    </w:p>
    <w:p w14:paraId="74FA133C" w14:textId="77777777" w:rsidR="003457C2" w:rsidRPr="00156DC9" w:rsidRDefault="003457C2" w:rsidP="003457C2">
      <w:pPr>
        <w:pStyle w:val="NormalWeb"/>
        <w:numPr>
          <w:ilvl w:val="0"/>
          <w:numId w:val="7"/>
        </w:numPr>
        <w:ind w:left="540" w:firstLine="360"/>
      </w:pPr>
      <w:r w:rsidRPr="00156DC9">
        <w:t>natyrën e sjelljes së supozuar.</w:t>
      </w:r>
    </w:p>
    <w:p w14:paraId="003374F4" w14:textId="511A5F93" w:rsidR="00145AB1" w:rsidRPr="00156DC9" w:rsidRDefault="003457C2" w:rsidP="00145AB1">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Kur jepet një sh</w:t>
      </w:r>
      <w:r w:rsidR="00145AB1" w:rsidRPr="00156DC9">
        <w:rPr>
          <w:rFonts w:ascii="Times New Roman" w:eastAsia="Times New Roman" w:hAnsi="Times New Roman" w:cs="Times New Roman"/>
          <w:sz w:val="24"/>
          <w:szCs w:val="24"/>
        </w:rPr>
        <w:t>ënues (</w:t>
      </w:r>
      <w:r w:rsidR="00145AB1" w:rsidRPr="00156DC9">
        <w:rPr>
          <w:rFonts w:ascii="Times New Roman" w:eastAsia="Times New Roman" w:hAnsi="Times New Roman" w:cs="Times New Roman"/>
          <w:i/>
          <w:iCs/>
          <w:sz w:val="24"/>
          <w:szCs w:val="24"/>
        </w:rPr>
        <w:t>marker</w:t>
      </w:r>
      <w:r w:rsidR="00145AB1"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Autoriteti i Konkurrencës cakton një afat brenda të cilit ndërmarrja duhet të përfundojë aplikimin e saj duke paraqitur provat e kërkuara dhe deklaratën e </w:t>
      </w:r>
      <w:r w:rsidR="000A1A75" w:rsidRPr="00156DC9">
        <w:rPr>
          <w:rFonts w:ascii="Times New Roman" w:eastAsia="Times New Roman" w:hAnsi="Times New Roman" w:cs="Times New Roman"/>
          <w:sz w:val="24"/>
          <w:szCs w:val="24"/>
        </w:rPr>
        <w:t>shoqërisë</w:t>
      </w:r>
      <w:r w:rsidRPr="00156DC9">
        <w:rPr>
          <w:rFonts w:ascii="Times New Roman" w:eastAsia="Times New Roman" w:hAnsi="Times New Roman" w:cs="Times New Roman"/>
          <w:sz w:val="24"/>
          <w:szCs w:val="24"/>
        </w:rPr>
        <w:t>.</w:t>
      </w:r>
    </w:p>
    <w:p w14:paraId="7BD16750" w14:textId="77777777" w:rsidR="00145AB1" w:rsidRPr="00156DC9" w:rsidRDefault="00145AB1" w:rsidP="00145AB1">
      <w:pPr>
        <w:pStyle w:val="ListParagraph"/>
        <w:spacing w:after="0" w:line="240" w:lineRule="auto"/>
        <w:ind w:left="540"/>
        <w:jc w:val="both"/>
        <w:rPr>
          <w:rFonts w:ascii="Times New Roman" w:eastAsia="Times New Roman" w:hAnsi="Times New Roman" w:cs="Times New Roman"/>
          <w:sz w:val="24"/>
          <w:szCs w:val="24"/>
        </w:rPr>
      </w:pPr>
    </w:p>
    <w:p w14:paraId="26F7960E" w14:textId="03445954" w:rsidR="00145AB1" w:rsidRPr="00156DC9" w:rsidRDefault="00145AB1" w:rsidP="00145AB1">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Nëse ndërmarrja përmbush kërkesat brenda afatit të caktuar, informacioni i paraqitur konsiderohet se është dorëzuar në datën kur i është dhënë shënuesi (</w:t>
      </w:r>
      <w:r w:rsidRPr="00156DC9">
        <w:rPr>
          <w:rFonts w:ascii="Times New Roman" w:eastAsia="Times New Roman" w:hAnsi="Times New Roman" w:cs="Times New Roman"/>
          <w:i/>
          <w:iCs/>
          <w:sz w:val="24"/>
          <w:szCs w:val="24"/>
        </w:rPr>
        <w:t>marker</w:t>
      </w:r>
      <w:r w:rsidRPr="00156DC9">
        <w:rPr>
          <w:rFonts w:ascii="Times New Roman" w:eastAsia="Times New Roman" w:hAnsi="Times New Roman" w:cs="Times New Roman"/>
          <w:sz w:val="24"/>
          <w:szCs w:val="24"/>
        </w:rPr>
        <w:t>), për qëllime të përcaktimit të rendit të përparësisë në kuadër të Programit të Lehtësimit.</w:t>
      </w:r>
    </w:p>
    <w:p w14:paraId="7023A582" w14:textId="77777777" w:rsidR="00145AB1" w:rsidRPr="00156DC9" w:rsidRDefault="00145AB1" w:rsidP="00145AB1">
      <w:pPr>
        <w:pStyle w:val="ListParagraph"/>
        <w:spacing w:after="0" w:line="240" w:lineRule="auto"/>
        <w:ind w:left="540"/>
        <w:jc w:val="both"/>
        <w:rPr>
          <w:rFonts w:ascii="Times New Roman" w:eastAsia="Times New Roman" w:hAnsi="Times New Roman" w:cs="Times New Roman"/>
          <w:sz w:val="24"/>
          <w:szCs w:val="24"/>
        </w:rPr>
      </w:pPr>
    </w:p>
    <w:p w14:paraId="15B4BD11" w14:textId="47A0D47F" w:rsidR="00145AB1" w:rsidRPr="00156DC9" w:rsidRDefault="00145AB1" w:rsidP="00145AB1">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Mospërmbushja e kërkesave për plotësimin e shënuesit (</w:t>
      </w:r>
      <w:r w:rsidRPr="00156DC9">
        <w:rPr>
          <w:rFonts w:ascii="Times New Roman" w:eastAsia="Times New Roman" w:hAnsi="Times New Roman" w:cs="Times New Roman"/>
          <w:i/>
          <w:iCs/>
          <w:sz w:val="24"/>
          <w:szCs w:val="24"/>
        </w:rPr>
        <w:t>marker</w:t>
      </w:r>
      <w:r w:rsidRPr="00156DC9">
        <w:rPr>
          <w:rFonts w:ascii="Times New Roman" w:eastAsia="Times New Roman" w:hAnsi="Times New Roman" w:cs="Times New Roman"/>
          <w:sz w:val="24"/>
          <w:szCs w:val="24"/>
        </w:rPr>
        <w:t>) brenda afatit të caktuar sjell humbjen e efektit të tij.</w:t>
      </w:r>
    </w:p>
    <w:p w14:paraId="339FFC21" w14:textId="77777777" w:rsidR="00145AB1" w:rsidRPr="00156DC9" w:rsidRDefault="00145AB1" w:rsidP="003457C2">
      <w:pPr>
        <w:spacing w:after="0" w:line="240" w:lineRule="auto"/>
        <w:ind w:left="540" w:hanging="540"/>
        <w:jc w:val="both"/>
        <w:rPr>
          <w:rFonts w:ascii="Times New Roman" w:eastAsia="Times New Roman" w:hAnsi="Times New Roman" w:cs="Times New Roman"/>
          <w:sz w:val="24"/>
          <w:szCs w:val="24"/>
        </w:rPr>
      </w:pPr>
    </w:p>
    <w:p w14:paraId="5CA69C6E" w14:textId="7747504C"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C. Aplikime të Përmbledhura</w:t>
      </w:r>
      <w:r w:rsidR="00145AB1" w:rsidRPr="00156DC9">
        <w:rPr>
          <w:rFonts w:ascii="Times New Roman" w:eastAsia="Times New Roman" w:hAnsi="Times New Roman" w:cs="Times New Roman"/>
          <w:b/>
          <w:bCs/>
          <w:sz w:val="24"/>
          <w:szCs w:val="24"/>
        </w:rPr>
        <w:t xml:space="preserve"> </w:t>
      </w:r>
      <w:r w:rsidR="00145AB1" w:rsidRPr="00156DC9">
        <w:rPr>
          <w:rFonts w:ascii="Times New Roman" w:eastAsia="Times New Roman" w:hAnsi="Times New Roman" w:cs="Times New Roman"/>
          <w:b/>
          <w:bCs/>
          <w:i/>
          <w:iCs/>
          <w:sz w:val="24"/>
          <w:szCs w:val="24"/>
        </w:rPr>
        <w:t>(Summary Applications)</w:t>
      </w:r>
    </w:p>
    <w:p w14:paraId="7ECC12CE"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75FA69C9" w14:textId="0FAB982F"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Një ndërmarrje që ka paraqitur</w:t>
      </w:r>
      <w:r w:rsidR="00E87C7F"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ose synon të paraqesë</w:t>
      </w:r>
      <w:r w:rsidR="00E87C7F"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një kërkesë për imunitet ose lehtësim pranë një autoriteti </w:t>
      </w:r>
      <w:r w:rsidR="00E87C7F" w:rsidRPr="00156DC9">
        <w:rPr>
          <w:rFonts w:ascii="Times New Roman" w:eastAsia="Times New Roman" w:hAnsi="Times New Roman" w:cs="Times New Roman"/>
          <w:sz w:val="24"/>
          <w:szCs w:val="24"/>
        </w:rPr>
        <w:t>të huaj</w:t>
      </w:r>
      <w:r w:rsidRPr="00156DC9">
        <w:rPr>
          <w:rFonts w:ascii="Times New Roman" w:eastAsia="Times New Roman" w:hAnsi="Times New Roman" w:cs="Times New Roman"/>
          <w:sz w:val="24"/>
          <w:szCs w:val="24"/>
        </w:rPr>
        <w:t xml:space="preserve"> të konkurrenc</w:t>
      </w:r>
      <w:r w:rsidR="00E87C7F" w:rsidRPr="00156DC9">
        <w:rPr>
          <w:rFonts w:ascii="Times New Roman" w:eastAsia="Times New Roman" w:hAnsi="Times New Roman" w:cs="Times New Roman"/>
          <w:sz w:val="24"/>
          <w:szCs w:val="24"/>
        </w:rPr>
        <w:t>e</w:t>
      </w:r>
      <w:r w:rsidRPr="00156DC9">
        <w:rPr>
          <w:rFonts w:ascii="Times New Roman" w:eastAsia="Times New Roman" w:hAnsi="Times New Roman" w:cs="Times New Roman"/>
          <w:sz w:val="24"/>
          <w:szCs w:val="24"/>
        </w:rPr>
        <w:t xml:space="preserve"> në lidhje me të njëjtin kartel të dyshuar mund të paraqesë një kërkesë </w:t>
      </w:r>
      <w:r w:rsidR="00145AB1" w:rsidRPr="00156DC9">
        <w:rPr>
          <w:rFonts w:ascii="Times New Roman" w:eastAsia="Times New Roman" w:hAnsi="Times New Roman" w:cs="Times New Roman"/>
          <w:sz w:val="24"/>
          <w:szCs w:val="24"/>
        </w:rPr>
        <w:t xml:space="preserve">të </w:t>
      </w:r>
      <w:r w:rsidRPr="00156DC9">
        <w:rPr>
          <w:rFonts w:ascii="Times New Roman" w:eastAsia="Times New Roman" w:hAnsi="Times New Roman" w:cs="Times New Roman"/>
          <w:sz w:val="24"/>
          <w:szCs w:val="24"/>
        </w:rPr>
        <w:t>përmbledh</w:t>
      </w:r>
      <w:r w:rsidR="00145AB1" w:rsidRPr="00156DC9">
        <w:rPr>
          <w:rFonts w:ascii="Times New Roman" w:eastAsia="Times New Roman" w:hAnsi="Times New Roman" w:cs="Times New Roman"/>
          <w:sz w:val="24"/>
          <w:szCs w:val="24"/>
        </w:rPr>
        <w:t>ur</w:t>
      </w:r>
      <w:r w:rsidRPr="00156DC9">
        <w:rPr>
          <w:rFonts w:ascii="Times New Roman" w:eastAsia="Times New Roman" w:hAnsi="Times New Roman" w:cs="Times New Roman"/>
          <w:sz w:val="24"/>
          <w:szCs w:val="24"/>
        </w:rPr>
        <w:t xml:space="preserve"> pranë Autoritetit Shqiptar të Konkurrencës, kur karteli i dyshuar është i aftë të ndikojë në konkurrencën në tregun shqiptar.</w:t>
      </w:r>
    </w:p>
    <w:p w14:paraId="22B93517"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6366A94" w14:textId="5B60BCF2"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Një kërkesë </w:t>
      </w:r>
      <w:r w:rsidR="00145AB1" w:rsidRPr="00156DC9">
        <w:rPr>
          <w:rFonts w:ascii="Times New Roman" w:eastAsia="Times New Roman" w:hAnsi="Times New Roman" w:cs="Times New Roman"/>
          <w:sz w:val="24"/>
          <w:szCs w:val="24"/>
        </w:rPr>
        <w:t xml:space="preserve">e </w:t>
      </w:r>
      <w:r w:rsidRPr="00156DC9">
        <w:rPr>
          <w:rFonts w:ascii="Times New Roman" w:eastAsia="Times New Roman" w:hAnsi="Times New Roman" w:cs="Times New Roman"/>
          <w:sz w:val="24"/>
          <w:szCs w:val="24"/>
        </w:rPr>
        <w:t>përmbledh</w:t>
      </w:r>
      <w:r w:rsidR="00145AB1" w:rsidRPr="00156DC9">
        <w:rPr>
          <w:rFonts w:ascii="Times New Roman" w:eastAsia="Times New Roman" w:hAnsi="Times New Roman" w:cs="Times New Roman"/>
          <w:sz w:val="24"/>
          <w:szCs w:val="24"/>
        </w:rPr>
        <w:t>ur</w:t>
      </w:r>
      <w:r w:rsidRPr="00156DC9">
        <w:rPr>
          <w:rFonts w:ascii="Times New Roman" w:eastAsia="Times New Roman" w:hAnsi="Times New Roman" w:cs="Times New Roman"/>
          <w:sz w:val="24"/>
          <w:szCs w:val="24"/>
        </w:rPr>
        <w:t xml:space="preserve"> nuk do të japë në vetvete ndonjë të drejtë për imunitet ose lehtësim. Qëllimi i një kërkese </w:t>
      </w:r>
      <w:r w:rsidR="00145AB1" w:rsidRPr="00156DC9">
        <w:rPr>
          <w:rFonts w:ascii="Times New Roman" w:eastAsia="Times New Roman" w:hAnsi="Times New Roman" w:cs="Times New Roman"/>
          <w:sz w:val="24"/>
          <w:szCs w:val="24"/>
        </w:rPr>
        <w:t xml:space="preserve">të </w:t>
      </w:r>
      <w:r w:rsidRPr="00156DC9">
        <w:rPr>
          <w:rFonts w:ascii="Times New Roman" w:eastAsia="Times New Roman" w:hAnsi="Times New Roman" w:cs="Times New Roman"/>
          <w:sz w:val="24"/>
          <w:szCs w:val="24"/>
        </w:rPr>
        <w:t>përmbledh</w:t>
      </w:r>
      <w:r w:rsidR="00145AB1" w:rsidRPr="00156DC9">
        <w:rPr>
          <w:rFonts w:ascii="Times New Roman" w:eastAsia="Times New Roman" w:hAnsi="Times New Roman" w:cs="Times New Roman"/>
          <w:sz w:val="24"/>
          <w:szCs w:val="24"/>
        </w:rPr>
        <w:t>ur</w:t>
      </w:r>
      <w:r w:rsidRPr="00156DC9">
        <w:rPr>
          <w:rFonts w:ascii="Times New Roman" w:eastAsia="Times New Roman" w:hAnsi="Times New Roman" w:cs="Times New Roman"/>
          <w:sz w:val="24"/>
          <w:szCs w:val="24"/>
        </w:rPr>
        <w:t xml:space="preserve"> është të ruajë pozicionin e aplikantit në radhën e lehtësimit ose imunitetit në rast se Autoriteti</w:t>
      </w:r>
      <w:r w:rsidR="00E87C7F" w:rsidRPr="00156DC9">
        <w:rPr>
          <w:rFonts w:ascii="Times New Roman" w:eastAsia="Times New Roman" w:hAnsi="Times New Roman" w:cs="Times New Roman"/>
          <w:sz w:val="24"/>
          <w:szCs w:val="24"/>
        </w:rPr>
        <w:t xml:space="preserve"> Shqiptar</w:t>
      </w:r>
      <w:r w:rsidRPr="00156DC9">
        <w:rPr>
          <w:rFonts w:ascii="Times New Roman" w:eastAsia="Times New Roman" w:hAnsi="Times New Roman" w:cs="Times New Roman"/>
          <w:sz w:val="24"/>
          <w:szCs w:val="24"/>
        </w:rPr>
        <w:t xml:space="preserve"> i Konkurrencës </w:t>
      </w:r>
      <w:r w:rsidR="00700DBA" w:rsidRPr="00156DC9">
        <w:rPr>
          <w:rFonts w:ascii="Times New Roman" w:eastAsia="Times New Roman" w:hAnsi="Times New Roman" w:cs="Times New Roman"/>
          <w:sz w:val="24"/>
          <w:szCs w:val="24"/>
        </w:rPr>
        <w:t>konsiderohet se është</w:t>
      </w:r>
      <w:r w:rsidR="00E87C7F"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ose</w:t>
      </w:r>
      <w:r w:rsidR="00E87C7F" w:rsidRPr="00156DC9">
        <w:rPr>
          <w:rFonts w:ascii="Times New Roman" w:eastAsia="Times New Roman" w:hAnsi="Times New Roman" w:cs="Times New Roman"/>
          <w:sz w:val="24"/>
          <w:szCs w:val="24"/>
        </w:rPr>
        <w:t xml:space="preserve"> </w:t>
      </w:r>
      <w:r w:rsidR="00700DBA" w:rsidRPr="00156DC9">
        <w:rPr>
          <w:rFonts w:ascii="Times New Roman" w:eastAsia="Times New Roman" w:hAnsi="Times New Roman" w:cs="Times New Roman"/>
          <w:sz w:val="24"/>
          <w:szCs w:val="24"/>
        </w:rPr>
        <w:t>do jetë</w:t>
      </w:r>
      <w:r w:rsidR="00E87C7F" w:rsidRPr="00156DC9">
        <w:rPr>
          <w:rFonts w:ascii="Times New Roman" w:eastAsia="Times New Roman" w:hAnsi="Times New Roman" w:cs="Times New Roman"/>
          <w:sz w:val="24"/>
          <w:szCs w:val="24"/>
        </w:rPr>
        <w:t>,</w:t>
      </w:r>
      <w:r w:rsidR="00700DBA" w:rsidRPr="00156DC9">
        <w:rPr>
          <w:rFonts w:ascii="Times New Roman" w:eastAsia="Times New Roman" w:hAnsi="Times New Roman" w:cs="Times New Roman"/>
          <w:sz w:val="24"/>
          <w:szCs w:val="24"/>
        </w:rPr>
        <w:t xml:space="preserve"> në pozicionin e duhur</w:t>
      </w:r>
      <w:r w:rsidRPr="00156DC9">
        <w:rPr>
          <w:rFonts w:ascii="Times New Roman" w:eastAsia="Times New Roman" w:hAnsi="Times New Roman" w:cs="Times New Roman"/>
          <w:sz w:val="24"/>
          <w:szCs w:val="24"/>
        </w:rPr>
        <w:t xml:space="preserve"> për të vepruar.</w:t>
      </w:r>
    </w:p>
    <w:p w14:paraId="60A38495"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7C2239A4" w14:textId="07AF0AA0"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Një kërkesë </w:t>
      </w:r>
      <w:r w:rsidR="00E87C7F" w:rsidRPr="00156DC9">
        <w:rPr>
          <w:rFonts w:ascii="Times New Roman" w:eastAsia="Times New Roman" w:hAnsi="Times New Roman" w:cs="Times New Roman"/>
          <w:sz w:val="24"/>
          <w:szCs w:val="24"/>
        </w:rPr>
        <w:t xml:space="preserve">e </w:t>
      </w:r>
      <w:r w:rsidRPr="00156DC9">
        <w:rPr>
          <w:rFonts w:ascii="Times New Roman" w:eastAsia="Times New Roman" w:hAnsi="Times New Roman" w:cs="Times New Roman"/>
          <w:sz w:val="24"/>
          <w:szCs w:val="24"/>
        </w:rPr>
        <w:t>përmbledh</w:t>
      </w:r>
      <w:r w:rsidR="00E87C7F" w:rsidRPr="00156DC9">
        <w:rPr>
          <w:rFonts w:ascii="Times New Roman" w:eastAsia="Times New Roman" w:hAnsi="Times New Roman" w:cs="Times New Roman"/>
          <w:sz w:val="24"/>
          <w:szCs w:val="24"/>
        </w:rPr>
        <w:t>ur</w:t>
      </w:r>
      <w:r w:rsidRPr="00156DC9">
        <w:rPr>
          <w:rFonts w:ascii="Times New Roman" w:eastAsia="Times New Roman" w:hAnsi="Times New Roman" w:cs="Times New Roman"/>
          <w:sz w:val="24"/>
          <w:szCs w:val="24"/>
        </w:rPr>
        <w:t xml:space="preserve"> duhet të përmbajë të paktën:</w:t>
      </w:r>
    </w:p>
    <w:p w14:paraId="480A4FE6" w14:textId="77777777" w:rsidR="003457C2" w:rsidRPr="00156DC9" w:rsidRDefault="003457C2" w:rsidP="00BA0688">
      <w:pPr>
        <w:pStyle w:val="NormalWeb"/>
        <w:numPr>
          <w:ilvl w:val="0"/>
          <w:numId w:val="8"/>
        </w:numPr>
        <w:ind w:left="540" w:firstLine="450"/>
      </w:pPr>
      <w:r w:rsidRPr="00156DC9">
        <w:t>identifikimin e ndërmarrjes aplikuese;</w:t>
      </w:r>
    </w:p>
    <w:p w14:paraId="4EA80631" w14:textId="77777777" w:rsidR="003457C2" w:rsidRPr="00156DC9" w:rsidRDefault="003457C2" w:rsidP="00BA0688">
      <w:pPr>
        <w:pStyle w:val="NormalWeb"/>
        <w:numPr>
          <w:ilvl w:val="0"/>
          <w:numId w:val="8"/>
        </w:numPr>
        <w:ind w:left="540" w:firstLine="450"/>
      </w:pPr>
      <w:r w:rsidRPr="00156DC9">
        <w:t>identifikimi i pjesëmarrësve të tjerë në kartel;</w:t>
      </w:r>
    </w:p>
    <w:p w14:paraId="1F026543" w14:textId="77777777" w:rsidR="003457C2" w:rsidRPr="00156DC9" w:rsidRDefault="003457C2" w:rsidP="00BA0688">
      <w:pPr>
        <w:pStyle w:val="NormalWeb"/>
        <w:numPr>
          <w:ilvl w:val="0"/>
          <w:numId w:val="8"/>
        </w:numPr>
        <w:ind w:left="540" w:firstLine="450"/>
      </w:pPr>
      <w:r w:rsidRPr="00156DC9">
        <w:t>përshkrimi i kartelit të supozuar (natyra, objektivat, funksionimi);</w:t>
      </w:r>
    </w:p>
    <w:p w14:paraId="39F37E8D" w14:textId="77777777" w:rsidR="003457C2" w:rsidRPr="00156DC9" w:rsidRDefault="003457C2" w:rsidP="00BA0688">
      <w:pPr>
        <w:pStyle w:val="NormalWeb"/>
        <w:numPr>
          <w:ilvl w:val="0"/>
          <w:numId w:val="8"/>
        </w:numPr>
        <w:ind w:left="540" w:firstLine="450"/>
      </w:pPr>
      <w:r w:rsidRPr="00156DC9">
        <w:t>produktet ose shërbimet e prekura;</w:t>
      </w:r>
    </w:p>
    <w:p w14:paraId="4D4ABE70" w14:textId="77777777" w:rsidR="003457C2" w:rsidRPr="00156DC9" w:rsidRDefault="003457C2" w:rsidP="00BA0688">
      <w:pPr>
        <w:pStyle w:val="NormalWeb"/>
        <w:numPr>
          <w:ilvl w:val="0"/>
          <w:numId w:val="8"/>
        </w:numPr>
        <w:ind w:left="540" w:firstLine="450"/>
      </w:pPr>
      <w:r w:rsidRPr="00156DC9">
        <w:lastRenderedPageBreak/>
        <w:t>shtrirja gjeografike;</w:t>
      </w:r>
    </w:p>
    <w:p w14:paraId="4778B903" w14:textId="77777777" w:rsidR="003457C2" w:rsidRPr="00156DC9" w:rsidRDefault="003457C2" w:rsidP="00BA0688">
      <w:pPr>
        <w:pStyle w:val="NormalWeb"/>
        <w:numPr>
          <w:ilvl w:val="0"/>
          <w:numId w:val="8"/>
        </w:numPr>
        <w:ind w:left="540" w:firstLine="450"/>
      </w:pPr>
      <w:r w:rsidRPr="00156DC9">
        <w:t>kohëzgjatja; dhe</w:t>
      </w:r>
    </w:p>
    <w:p w14:paraId="7D5E7842" w14:textId="77777777" w:rsidR="003457C2" w:rsidRPr="00156DC9" w:rsidRDefault="003457C2" w:rsidP="00BA0688">
      <w:pPr>
        <w:pStyle w:val="NormalWeb"/>
        <w:numPr>
          <w:ilvl w:val="0"/>
          <w:numId w:val="8"/>
        </w:numPr>
        <w:ind w:left="540" w:firstLine="450"/>
      </w:pPr>
      <w:r w:rsidRPr="00156DC9">
        <w:t>informacion mbi çdo kërkesë paralele për lehtësim/imunitet.</w:t>
      </w:r>
    </w:p>
    <w:p w14:paraId="2C3889D1" w14:textId="7777777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Autoriteti i Konkurrencës vlerëson nëse është në pozicionin e duhur për të vepruar, duke marrë parasysh:</w:t>
      </w:r>
    </w:p>
    <w:p w14:paraId="7A20F0E3" w14:textId="77777777" w:rsidR="00BA0688" w:rsidRPr="00156DC9" w:rsidRDefault="00BA0688" w:rsidP="00BA0688">
      <w:pPr>
        <w:pStyle w:val="NormalWeb"/>
        <w:spacing w:before="0" w:beforeAutospacing="0" w:after="0" w:afterAutospacing="0"/>
        <w:ind w:left="1260" w:hanging="540"/>
      </w:pPr>
    </w:p>
    <w:p w14:paraId="100BEAEC" w14:textId="26B147EC" w:rsidR="003457C2" w:rsidRPr="00156DC9" w:rsidRDefault="003457C2" w:rsidP="00BA0688">
      <w:pPr>
        <w:pStyle w:val="NormalWeb"/>
        <w:spacing w:before="0" w:beforeAutospacing="0" w:after="0" w:afterAutospacing="0"/>
        <w:ind w:left="1710" w:hanging="720"/>
      </w:pPr>
      <w:r w:rsidRPr="00156DC9">
        <w:t>(a) efektet e shkeljes së pretenduar në tregun shqiptar;</w:t>
      </w:r>
    </w:p>
    <w:p w14:paraId="34402AF7" w14:textId="77777777" w:rsidR="003457C2" w:rsidRPr="00156DC9" w:rsidRDefault="003457C2" w:rsidP="00BA0688">
      <w:pPr>
        <w:pStyle w:val="NormalWeb"/>
        <w:spacing w:before="0" w:beforeAutospacing="0" w:after="0" w:afterAutospacing="0"/>
        <w:ind w:left="1710" w:hanging="720"/>
      </w:pPr>
      <w:r w:rsidRPr="00156DC9">
        <w:t>(b) aftësinë për të hetuar dhe zbatuar në mënyrë efektive;</w:t>
      </w:r>
    </w:p>
    <w:p w14:paraId="1CBD074C" w14:textId="77777777" w:rsidR="003457C2" w:rsidRPr="00156DC9" w:rsidRDefault="003457C2" w:rsidP="00BA0688">
      <w:pPr>
        <w:pStyle w:val="NormalWeb"/>
        <w:spacing w:before="0" w:beforeAutospacing="0" w:after="0" w:afterAutospacing="0"/>
        <w:ind w:left="1710" w:hanging="720"/>
      </w:pPr>
      <w:r w:rsidRPr="00156DC9">
        <w:t>(c) interesin në sigurimin e një ndarjeje efikase të zbatimit; dhe</w:t>
      </w:r>
    </w:p>
    <w:p w14:paraId="1ACD9F9D" w14:textId="77777777" w:rsidR="003457C2" w:rsidRPr="00156DC9" w:rsidRDefault="003457C2" w:rsidP="00BA0688">
      <w:pPr>
        <w:pStyle w:val="NormalWeb"/>
        <w:spacing w:before="0" w:beforeAutospacing="0" w:after="0" w:afterAutospacing="0"/>
        <w:ind w:left="1710" w:hanging="720"/>
      </w:pPr>
      <w:r w:rsidRPr="00156DC9">
        <w:t>(d) procedura paralele në juridiksione të tjera.</w:t>
      </w:r>
    </w:p>
    <w:p w14:paraId="350BF48B" w14:textId="77777777" w:rsidR="00BA0688" w:rsidRPr="00156DC9" w:rsidRDefault="00BA0688" w:rsidP="003457C2">
      <w:pPr>
        <w:pStyle w:val="ListParagraph"/>
        <w:spacing w:after="0" w:line="240" w:lineRule="auto"/>
        <w:ind w:left="540"/>
        <w:jc w:val="both"/>
        <w:rPr>
          <w:rFonts w:ascii="Times New Roman" w:eastAsia="Times New Roman" w:hAnsi="Times New Roman" w:cs="Times New Roman"/>
          <w:sz w:val="24"/>
          <w:szCs w:val="24"/>
        </w:rPr>
      </w:pPr>
    </w:p>
    <w:p w14:paraId="5D711BEE" w14:textId="4C7457B0" w:rsidR="003457C2" w:rsidRPr="00156DC9" w:rsidRDefault="003457C2" w:rsidP="003457C2">
      <w:pPr>
        <w:pStyle w:val="ListParagraph"/>
        <w:spacing w:after="0" w:line="240" w:lineRule="auto"/>
        <w:ind w:left="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Vlerësimi nëse Autoriteti i Konkurrencës është </w:t>
      </w:r>
      <w:r w:rsidR="00700DBA" w:rsidRPr="00156DC9">
        <w:rPr>
          <w:rFonts w:ascii="Times New Roman" w:eastAsia="Times New Roman" w:hAnsi="Times New Roman" w:cs="Times New Roman"/>
          <w:sz w:val="24"/>
          <w:szCs w:val="24"/>
        </w:rPr>
        <w:t xml:space="preserve">në pozicionin e duhur </w:t>
      </w:r>
      <w:r w:rsidRPr="00156DC9">
        <w:rPr>
          <w:rFonts w:ascii="Times New Roman" w:eastAsia="Times New Roman" w:hAnsi="Times New Roman" w:cs="Times New Roman"/>
          <w:sz w:val="24"/>
          <w:szCs w:val="24"/>
        </w:rPr>
        <w:t>për të vepruar është diskrecionar dhe nuk duhet të krijojë ndonjë prit</w:t>
      </w:r>
      <w:r w:rsidR="004D14D8" w:rsidRPr="00156DC9">
        <w:rPr>
          <w:rFonts w:ascii="Times New Roman" w:eastAsia="Times New Roman" w:hAnsi="Times New Roman" w:cs="Times New Roman"/>
          <w:sz w:val="24"/>
          <w:szCs w:val="24"/>
        </w:rPr>
        <w:t>shmëri</w:t>
      </w:r>
      <w:r w:rsidRPr="00156DC9">
        <w:rPr>
          <w:rFonts w:ascii="Times New Roman" w:eastAsia="Times New Roman" w:hAnsi="Times New Roman" w:cs="Times New Roman"/>
          <w:sz w:val="24"/>
          <w:szCs w:val="24"/>
        </w:rPr>
        <w:t xml:space="preserve"> legjitime se Autoriteti i Konkurrencës do të hapë procedura</w:t>
      </w:r>
      <w:r w:rsidR="00BA5A26" w:rsidRPr="00156DC9">
        <w:rPr>
          <w:rFonts w:ascii="Times New Roman" w:eastAsia="Times New Roman" w:hAnsi="Times New Roman" w:cs="Times New Roman"/>
          <w:sz w:val="24"/>
          <w:szCs w:val="24"/>
        </w:rPr>
        <w:t>t përkatëse</w:t>
      </w:r>
      <w:r w:rsidRPr="00156DC9">
        <w:rPr>
          <w:rFonts w:ascii="Times New Roman" w:eastAsia="Times New Roman" w:hAnsi="Times New Roman" w:cs="Times New Roman"/>
          <w:sz w:val="24"/>
          <w:szCs w:val="24"/>
        </w:rPr>
        <w:t>.</w:t>
      </w:r>
    </w:p>
    <w:p w14:paraId="574967C1" w14:textId="77777777" w:rsidR="003457C2" w:rsidRPr="00156DC9" w:rsidRDefault="003457C2" w:rsidP="003457C2">
      <w:pPr>
        <w:pStyle w:val="ListParagraph"/>
        <w:spacing w:after="0"/>
        <w:ind w:left="540"/>
        <w:jc w:val="both"/>
        <w:rPr>
          <w:rFonts w:ascii="Times New Roman" w:eastAsia="Times New Roman" w:hAnsi="Times New Roman" w:cs="Times New Roman"/>
          <w:sz w:val="24"/>
          <w:szCs w:val="24"/>
        </w:rPr>
      </w:pPr>
    </w:p>
    <w:p w14:paraId="361E3F57" w14:textId="7E06FC99"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Autoriteti i Konkurrencës duhet të marrë parasysh nevojën për të siguruar shpërndarjen efikase të çështjeve brenda Rrjetit Evropian të Konkurrencës</w:t>
      </w:r>
      <w:r w:rsidR="00BA5A26" w:rsidRPr="00156DC9">
        <w:rPr>
          <w:rFonts w:ascii="Times New Roman" w:eastAsia="Times New Roman" w:hAnsi="Times New Roman" w:cs="Times New Roman"/>
          <w:sz w:val="24"/>
          <w:szCs w:val="24"/>
        </w:rPr>
        <w:t xml:space="preserve"> (“ECN”)</w:t>
      </w:r>
      <w:r w:rsidRPr="00156DC9">
        <w:rPr>
          <w:rFonts w:ascii="Times New Roman" w:eastAsia="Times New Roman" w:hAnsi="Times New Roman" w:cs="Times New Roman"/>
          <w:sz w:val="24"/>
          <w:szCs w:val="24"/>
        </w:rPr>
        <w:t xml:space="preserve"> dhe për të shmangur zbatimin paralel</w:t>
      </w:r>
      <w:r w:rsidR="00D43875">
        <w:rPr>
          <w:rStyle w:val="FootnoteReference"/>
          <w:rFonts w:ascii="Times New Roman" w:eastAsia="Times New Roman" w:hAnsi="Times New Roman" w:cs="Times New Roman"/>
          <w:sz w:val="24"/>
          <w:szCs w:val="24"/>
        </w:rPr>
        <w:footnoteReference w:id="2"/>
      </w:r>
      <w:r w:rsidRPr="00156DC9">
        <w:rPr>
          <w:rFonts w:ascii="Times New Roman" w:eastAsia="Times New Roman" w:hAnsi="Times New Roman" w:cs="Times New Roman"/>
          <w:sz w:val="24"/>
          <w:szCs w:val="24"/>
        </w:rPr>
        <w:t xml:space="preserve"> ose të dyfishtë</w:t>
      </w:r>
      <w:r w:rsidR="00D43875">
        <w:rPr>
          <w:rStyle w:val="FootnoteReference"/>
          <w:rFonts w:ascii="Times New Roman" w:eastAsia="Times New Roman" w:hAnsi="Times New Roman" w:cs="Times New Roman"/>
          <w:sz w:val="24"/>
          <w:szCs w:val="24"/>
        </w:rPr>
        <w:footnoteReference w:id="3"/>
      </w:r>
      <w:r w:rsidRPr="00156DC9">
        <w:rPr>
          <w:rFonts w:ascii="Times New Roman" w:eastAsia="Times New Roman" w:hAnsi="Times New Roman" w:cs="Times New Roman"/>
          <w:sz w:val="24"/>
          <w:szCs w:val="24"/>
        </w:rPr>
        <w:t xml:space="preserve">, kur është </w:t>
      </w:r>
      <w:r w:rsidR="004D14D8" w:rsidRPr="00156DC9">
        <w:rPr>
          <w:rFonts w:ascii="Times New Roman" w:eastAsia="Times New Roman" w:hAnsi="Times New Roman" w:cs="Times New Roman"/>
          <w:sz w:val="24"/>
          <w:szCs w:val="24"/>
        </w:rPr>
        <w:t>rasti</w:t>
      </w:r>
      <w:r w:rsidR="005B3AA2" w:rsidRPr="00156DC9">
        <w:rPr>
          <w:rFonts w:ascii="Times New Roman" w:eastAsia="Times New Roman" w:hAnsi="Times New Roman" w:cs="Times New Roman"/>
          <w:sz w:val="24"/>
          <w:szCs w:val="24"/>
        </w:rPr>
        <w:t>.</w:t>
      </w:r>
    </w:p>
    <w:p w14:paraId="4170B97B" w14:textId="77777777" w:rsidR="003457C2" w:rsidRPr="00156DC9" w:rsidRDefault="003457C2" w:rsidP="003457C2">
      <w:pPr>
        <w:spacing w:after="0" w:line="240" w:lineRule="auto"/>
        <w:jc w:val="both"/>
        <w:rPr>
          <w:rFonts w:ascii="Times New Roman" w:eastAsia="Times New Roman" w:hAnsi="Times New Roman" w:cs="Times New Roman"/>
          <w:sz w:val="24"/>
          <w:szCs w:val="24"/>
        </w:rPr>
      </w:pPr>
    </w:p>
    <w:p w14:paraId="1C888B76" w14:textId="55A96743"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Kur Autoriteti i Konkurrencës konsideron se nuk </w:t>
      </w:r>
      <w:r w:rsidR="00700DBA" w:rsidRPr="00156DC9">
        <w:rPr>
          <w:rFonts w:ascii="Times New Roman" w:eastAsia="Times New Roman" w:hAnsi="Times New Roman" w:cs="Times New Roman"/>
          <w:sz w:val="24"/>
          <w:szCs w:val="24"/>
        </w:rPr>
        <w:t xml:space="preserve">është në pozicionin e duhur </w:t>
      </w:r>
      <w:r w:rsidRPr="00156DC9">
        <w:rPr>
          <w:rFonts w:ascii="Times New Roman" w:eastAsia="Times New Roman" w:hAnsi="Times New Roman" w:cs="Times New Roman"/>
          <w:sz w:val="24"/>
          <w:szCs w:val="24"/>
        </w:rPr>
        <w:t xml:space="preserve">për të vepruar, ai duhet të informojë aplikantin. Kërkesa </w:t>
      </w:r>
      <w:r w:rsidR="004D14D8" w:rsidRPr="00156DC9">
        <w:rPr>
          <w:rFonts w:ascii="Times New Roman" w:eastAsia="Times New Roman" w:hAnsi="Times New Roman" w:cs="Times New Roman"/>
          <w:sz w:val="24"/>
          <w:szCs w:val="24"/>
        </w:rPr>
        <w:t xml:space="preserve">e </w:t>
      </w:r>
      <w:r w:rsidRPr="00156DC9">
        <w:rPr>
          <w:rFonts w:ascii="Times New Roman" w:eastAsia="Times New Roman" w:hAnsi="Times New Roman" w:cs="Times New Roman"/>
          <w:sz w:val="24"/>
          <w:szCs w:val="24"/>
        </w:rPr>
        <w:t>përmbledh</w:t>
      </w:r>
      <w:r w:rsidR="004D14D8" w:rsidRPr="00156DC9">
        <w:rPr>
          <w:rFonts w:ascii="Times New Roman" w:eastAsia="Times New Roman" w:hAnsi="Times New Roman" w:cs="Times New Roman"/>
          <w:sz w:val="24"/>
          <w:szCs w:val="24"/>
        </w:rPr>
        <w:t>ur</w:t>
      </w:r>
      <w:r w:rsidRPr="00156DC9">
        <w:rPr>
          <w:rFonts w:ascii="Times New Roman" w:eastAsia="Times New Roman" w:hAnsi="Times New Roman" w:cs="Times New Roman"/>
          <w:sz w:val="24"/>
          <w:szCs w:val="24"/>
        </w:rPr>
        <w:t xml:space="preserve"> nuk do të përpunohet më tej, pa paragjykuar pozicionin e aplikantit para autoriteteve të </w:t>
      </w:r>
      <w:r w:rsidR="004D14D8" w:rsidRPr="00156DC9">
        <w:rPr>
          <w:rFonts w:ascii="Times New Roman" w:eastAsia="Times New Roman" w:hAnsi="Times New Roman" w:cs="Times New Roman"/>
          <w:sz w:val="24"/>
          <w:szCs w:val="24"/>
        </w:rPr>
        <w:t>huaja</w:t>
      </w:r>
      <w:r w:rsidRPr="00156DC9">
        <w:rPr>
          <w:rFonts w:ascii="Times New Roman" w:eastAsia="Times New Roman" w:hAnsi="Times New Roman" w:cs="Times New Roman"/>
          <w:sz w:val="24"/>
          <w:szCs w:val="24"/>
        </w:rPr>
        <w:t xml:space="preserve"> të konkurrencës.</w:t>
      </w:r>
    </w:p>
    <w:p w14:paraId="3D5AF74C"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5CDF8BF" w14:textId="52713D32"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hAnsi="Times New Roman" w:cs="Times New Roman"/>
          <w:sz w:val="24"/>
          <w:szCs w:val="24"/>
        </w:rPr>
        <w:t xml:space="preserve">Kur Autoriteti i Konkurrencës konsideron se </w:t>
      </w:r>
      <w:r w:rsidR="00700DBA" w:rsidRPr="00156DC9">
        <w:rPr>
          <w:rFonts w:ascii="Times New Roman" w:eastAsia="Times New Roman" w:hAnsi="Times New Roman" w:cs="Times New Roman"/>
          <w:sz w:val="24"/>
          <w:szCs w:val="24"/>
        </w:rPr>
        <w:t xml:space="preserve">është në pozicionin e duhur </w:t>
      </w:r>
      <w:r w:rsidRPr="00156DC9">
        <w:rPr>
          <w:rFonts w:ascii="Times New Roman" w:hAnsi="Times New Roman" w:cs="Times New Roman"/>
          <w:sz w:val="24"/>
          <w:szCs w:val="24"/>
        </w:rPr>
        <w:t>për të vepruar, ai mund t'i kërkojë aplikantit të paraqesë një aplikim të plotë brenda një periudhe të caktuar.</w:t>
      </w:r>
    </w:p>
    <w:p w14:paraId="29CCA4EF"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AE02DBB" w14:textId="7ACAC44A"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Kur një kërkesë e plotë dorëzohet brenda afatit të caktuar, ajo do të konsiderohet e dorëzuar në datën e kërkesës </w:t>
      </w:r>
      <w:r w:rsidR="00BA5A26" w:rsidRPr="00156DC9">
        <w:rPr>
          <w:rFonts w:ascii="Times New Roman" w:eastAsia="Times New Roman" w:hAnsi="Times New Roman" w:cs="Times New Roman"/>
          <w:sz w:val="24"/>
          <w:szCs w:val="24"/>
        </w:rPr>
        <w:t xml:space="preserve">së </w:t>
      </w:r>
      <w:r w:rsidRPr="00156DC9">
        <w:rPr>
          <w:rFonts w:ascii="Times New Roman" w:eastAsia="Times New Roman" w:hAnsi="Times New Roman" w:cs="Times New Roman"/>
          <w:sz w:val="24"/>
          <w:szCs w:val="24"/>
        </w:rPr>
        <w:t>përmbledh</w:t>
      </w:r>
      <w:r w:rsidR="00BA5A26" w:rsidRPr="00156DC9">
        <w:rPr>
          <w:rFonts w:ascii="Times New Roman" w:eastAsia="Times New Roman" w:hAnsi="Times New Roman" w:cs="Times New Roman"/>
          <w:sz w:val="24"/>
          <w:szCs w:val="24"/>
        </w:rPr>
        <w:t>ur</w:t>
      </w:r>
      <w:r w:rsidRPr="00156DC9">
        <w:rPr>
          <w:rFonts w:ascii="Times New Roman" w:eastAsia="Times New Roman" w:hAnsi="Times New Roman" w:cs="Times New Roman"/>
          <w:sz w:val="24"/>
          <w:szCs w:val="24"/>
        </w:rPr>
        <w:t xml:space="preserve"> me qëllim përcaktimin e përparësisë.</w:t>
      </w:r>
    </w:p>
    <w:p w14:paraId="75472EA8" w14:textId="77777777" w:rsidR="003457C2" w:rsidRPr="00156DC9" w:rsidRDefault="003457C2" w:rsidP="003457C2">
      <w:pPr>
        <w:pStyle w:val="ListParagraph"/>
        <w:spacing w:after="0"/>
        <w:ind w:left="540" w:hanging="540"/>
        <w:jc w:val="both"/>
        <w:rPr>
          <w:rFonts w:ascii="Times New Roman" w:eastAsia="Times New Roman" w:hAnsi="Times New Roman" w:cs="Times New Roman"/>
          <w:sz w:val="24"/>
          <w:szCs w:val="24"/>
        </w:rPr>
      </w:pPr>
    </w:p>
    <w:p w14:paraId="46D5C70F"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D. Dorëzimi i Aplikimeve</w:t>
      </w:r>
    </w:p>
    <w:p w14:paraId="1242772C"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0286296D" w14:textId="45065B01" w:rsidR="003457C2" w:rsidRPr="00156DC9" w:rsidRDefault="003457C2" w:rsidP="003457C2">
      <w:pPr>
        <w:pStyle w:val="ListParagraph"/>
        <w:numPr>
          <w:ilvl w:val="0"/>
          <w:numId w:val="1"/>
        </w:numPr>
        <w:spacing w:after="0"/>
        <w:ind w:left="540" w:hanging="540"/>
        <w:jc w:val="both"/>
        <w:rPr>
          <w:rFonts w:ascii="Times New Roman" w:hAnsi="Times New Roman" w:cs="Times New Roman"/>
          <w:sz w:val="24"/>
          <w:szCs w:val="24"/>
        </w:rPr>
      </w:pPr>
      <w:r w:rsidRPr="00156DC9">
        <w:rPr>
          <w:rFonts w:ascii="Times New Roman" w:hAnsi="Times New Roman" w:cs="Times New Roman"/>
          <w:sz w:val="24"/>
          <w:szCs w:val="24"/>
        </w:rPr>
        <w:t>Një ndërmarrje mund të paraqesë një kërkesë zyrtare qoftë:</w:t>
      </w:r>
    </w:p>
    <w:p w14:paraId="1FDE1C8B" w14:textId="77777777" w:rsidR="00057D0E" w:rsidRPr="00156DC9" w:rsidRDefault="00057D0E" w:rsidP="00057D0E">
      <w:pPr>
        <w:pStyle w:val="ListParagraph"/>
        <w:spacing w:after="0"/>
        <w:ind w:left="540"/>
        <w:jc w:val="both"/>
        <w:rPr>
          <w:rFonts w:ascii="Times New Roman" w:hAnsi="Times New Roman" w:cs="Times New Roman"/>
          <w:sz w:val="24"/>
          <w:szCs w:val="24"/>
        </w:rPr>
      </w:pPr>
    </w:p>
    <w:p w14:paraId="6FEFF424" w14:textId="6673BB9B" w:rsidR="003457C2" w:rsidRPr="00156DC9" w:rsidRDefault="003457C2" w:rsidP="00DF2AF5">
      <w:pPr>
        <w:pStyle w:val="ListParagraph"/>
        <w:numPr>
          <w:ilvl w:val="0"/>
          <w:numId w:val="9"/>
        </w:numPr>
        <w:spacing w:after="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duke ofruar një deklaratë të plotë dhe të gjitha provat e disponueshme; ose</w:t>
      </w:r>
    </w:p>
    <w:p w14:paraId="6375F619" w14:textId="7EC943A9" w:rsidR="003457C2" w:rsidRPr="00156DC9" w:rsidRDefault="003457C2" w:rsidP="00DF2AF5">
      <w:pPr>
        <w:pStyle w:val="ListParagraph"/>
        <w:numPr>
          <w:ilvl w:val="0"/>
          <w:numId w:val="9"/>
        </w:numPr>
        <w:spacing w:after="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duke paraqitur një kërkesë në formë hipotetike të shoqëruar me një listë të detajuar provash që do të paraqiten më vonë.</w:t>
      </w:r>
    </w:p>
    <w:p w14:paraId="3F6F18F0"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241C92B2" w14:textId="435DC3DF"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lastRenderedPageBreak/>
        <w:t>Autoriteti i Konkurrencës siguro</w:t>
      </w:r>
      <w:r w:rsidR="00DF2AF5" w:rsidRPr="00156DC9">
        <w:rPr>
          <w:rFonts w:ascii="Times New Roman" w:eastAsia="Times New Roman" w:hAnsi="Times New Roman" w:cs="Times New Roman"/>
          <w:sz w:val="24"/>
          <w:szCs w:val="24"/>
        </w:rPr>
        <w:t>n</w:t>
      </w:r>
      <w:r w:rsidRPr="00156DC9">
        <w:rPr>
          <w:rFonts w:ascii="Times New Roman" w:eastAsia="Times New Roman" w:hAnsi="Times New Roman" w:cs="Times New Roman"/>
          <w:sz w:val="24"/>
          <w:szCs w:val="24"/>
        </w:rPr>
        <w:t xml:space="preserve"> që kërkesat për imunitet ose lehtësim të trajtohen në një rend </w:t>
      </w:r>
      <w:r w:rsidR="00D43875">
        <w:rPr>
          <w:rFonts w:ascii="Times New Roman" w:eastAsia="Times New Roman" w:hAnsi="Times New Roman" w:cs="Times New Roman"/>
          <w:sz w:val="24"/>
          <w:szCs w:val="24"/>
        </w:rPr>
        <w:t xml:space="preserve">strikt </w:t>
      </w:r>
      <w:r w:rsidR="00DF2AF5" w:rsidRPr="00156DC9">
        <w:rPr>
          <w:rFonts w:ascii="Times New Roman" w:eastAsia="Times New Roman" w:hAnsi="Times New Roman" w:cs="Times New Roman"/>
          <w:sz w:val="24"/>
          <w:szCs w:val="24"/>
        </w:rPr>
        <w:t xml:space="preserve">date </w:t>
      </w:r>
      <w:r w:rsidRPr="00156DC9">
        <w:rPr>
          <w:rFonts w:ascii="Times New Roman" w:eastAsia="Times New Roman" w:hAnsi="Times New Roman" w:cs="Times New Roman"/>
          <w:sz w:val="24"/>
          <w:szCs w:val="24"/>
        </w:rPr>
        <w:t xml:space="preserve">pranimi, në varësi të kërkesave </w:t>
      </w:r>
      <w:r w:rsidR="00DF2AF5" w:rsidRPr="00156DC9">
        <w:rPr>
          <w:rFonts w:ascii="Times New Roman" w:eastAsia="Times New Roman" w:hAnsi="Times New Roman" w:cs="Times New Roman"/>
          <w:sz w:val="24"/>
          <w:szCs w:val="24"/>
        </w:rPr>
        <w:t>për</w:t>
      </w:r>
      <w:r w:rsidRPr="00156DC9">
        <w:rPr>
          <w:rFonts w:ascii="Times New Roman" w:eastAsia="Times New Roman" w:hAnsi="Times New Roman" w:cs="Times New Roman"/>
          <w:sz w:val="24"/>
          <w:szCs w:val="24"/>
        </w:rPr>
        <w:t xml:space="preserve"> shën</w:t>
      </w:r>
      <w:r w:rsidR="00DF2AF5" w:rsidRPr="00156DC9">
        <w:rPr>
          <w:rFonts w:ascii="Times New Roman" w:eastAsia="Times New Roman" w:hAnsi="Times New Roman" w:cs="Times New Roman"/>
          <w:sz w:val="24"/>
          <w:szCs w:val="24"/>
        </w:rPr>
        <w:t>ues (</w:t>
      </w:r>
      <w:r w:rsidR="00DF2AF5" w:rsidRPr="00156DC9">
        <w:rPr>
          <w:rFonts w:ascii="Times New Roman" w:eastAsia="Times New Roman" w:hAnsi="Times New Roman" w:cs="Times New Roman"/>
          <w:i/>
          <w:iCs/>
          <w:sz w:val="24"/>
          <w:szCs w:val="24"/>
        </w:rPr>
        <w:t>marker</w:t>
      </w:r>
      <w:r w:rsidR="00DF2AF5"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dhe atyre </w:t>
      </w:r>
      <w:r w:rsidR="00DF2AF5" w:rsidRPr="00156DC9">
        <w:rPr>
          <w:rFonts w:ascii="Times New Roman" w:eastAsia="Times New Roman" w:hAnsi="Times New Roman" w:cs="Times New Roman"/>
          <w:sz w:val="24"/>
          <w:szCs w:val="24"/>
        </w:rPr>
        <w:t xml:space="preserve">aplikimeve të </w:t>
      </w:r>
      <w:r w:rsidRPr="00156DC9">
        <w:rPr>
          <w:rFonts w:ascii="Times New Roman" w:eastAsia="Times New Roman" w:hAnsi="Times New Roman" w:cs="Times New Roman"/>
          <w:sz w:val="24"/>
          <w:szCs w:val="24"/>
        </w:rPr>
        <w:t>përmbledh</w:t>
      </w:r>
      <w:r w:rsidR="00DF2AF5" w:rsidRPr="00156DC9">
        <w:rPr>
          <w:rFonts w:ascii="Times New Roman" w:eastAsia="Times New Roman" w:hAnsi="Times New Roman" w:cs="Times New Roman"/>
          <w:sz w:val="24"/>
          <w:szCs w:val="24"/>
        </w:rPr>
        <w:t>ura (</w:t>
      </w:r>
      <w:r w:rsidR="00DF2AF5" w:rsidRPr="00156DC9">
        <w:rPr>
          <w:rFonts w:ascii="Times New Roman" w:eastAsia="Times New Roman" w:hAnsi="Times New Roman" w:cs="Times New Roman"/>
          <w:i/>
          <w:iCs/>
          <w:sz w:val="24"/>
          <w:szCs w:val="24"/>
        </w:rPr>
        <w:t>summary applications</w:t>
      </w:r>
      <w:r w:rsidR="00DF2AF5"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w:t>
      </w:r>
    </w:p>
    <w:p w14:paraId="77347287"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21AAA44" w14:textId="7767AE90"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hAnsi="Times New Roman" w:cs="Times New Roman"/>
          <w:sz w:val="24"/>
          <w:szCs w:val="24"/>
        </w:rPr>
        <w:t xml:space="preserve">Autoriteti i Konkurrencës nuk do të shqyrtojë kërkesat për uljen e gjobave përpara se të vendosë për ndonjë kërkesë për </w:t>
      </w:r>
      <w:r w:rsidR="00DF2AF5" w:rsidRPr="00156DC9">
        <w:rPr>
          <w:rFonts w:ascii="Times New Roman" w:hAnsi="Times New Roman" w:cs="Times New Roman"/>
          <w:sz w:val="24"/>
          <w:szCs w:val="24"/>
        </w:rPr>
        <w:t>imunitet</w:t>
      </w:r>
      <w:r w:rsidRPr="00156DC9">
        <w:rPr>
          <w:rFonts w:ascii="Times New Roman" w:hAnsi="Times New Roman" w:cs="Times New Roman"/>
          <w:sz w:val="24"/>
          <w:szCs w:val="24"/>
        </w:rPr>
        <w:t xml:space="preserve"> në lidhje me të njëjtin kartel të dyshuar.</w:t>
      </w:r>
    </w:p>
    <w:p w14:paraId="4402CB0B"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A3444C1" w14:textId="6056C06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hAnsi="Times New Roman" w:cs="Times New Roman"/>
          <w:sz w:val="24"/>
          <w:szCs w:val="24"/>
        </w:rPr>
        <w:t xml:space="preserve">Autoriteti i Konkurrencës bashkëpunon me autoritete të </w:t>
      </w:r>
      <w:r w:rsidR="00DF2AF5" w:rsidRPr="00156DC9">
        <w:rPr>
          <w:rFonts w:ascii="Times New Roman" w:hAnsi="Times New Roman" w:cs="Times New Roman"/>
          <w:sz w:val="24"/>
          <w:szCs w:val="24"/>
        </w:rPr>
        <w:t>huaja</w:t>
      </w:r>
      <w:r w:rsidRPr="00156DC9">
        <w:rPr>
          <w:rFonts w:ascii="Times New Roman" w:hAnsi="Times New Roman" w:cs="Times New Roman"/>
          <w:sz w:val="24"/>
          <w:szCs w:val="24"/>
        </w:rPr>
        <w:t xml:space="preserve"> konkurrenc</w:t>
      </w:r>
      <w:r w:rsidR="00DF2AF5" w:rsidRPr="00156DC9">
        <w:rPr>
          <w:rFonts w:ascii="Times New Roman" w:hAnsi="Times New Roman" w:cs="Times New Roman"/>
          <w:sz w:val="24"/>
          <w:szCs w:val="24"/>
        </w:rPr>
        <w:t>e</w:t>
      </w:r>
      <w:r w:rsidRPr="00156DC9">
        <w:rPr>
          <w:rFonts w:ascii="Times New Roman" w:hAnsi="Times New Roman" w:cs="Times New Roman"/>
          <w:sz w:val="24"/>
          <w:szCs w:val="24"/>
        </w:rPr>
        <w:t>, kur është e përshtatshme dhe në përputhje me ligjin në fuqi, për të siguruar shpërndarjen efikase të rasteve dhe qëndrueshmërinë e zbatimit.</w:t>
      </w:r>
    </w:p>
    <w:p w14:paraId="023E7F34" w14:textId="77777777" w:rsidR="003457C2" w:rsidRPr="00156DC9" w:rsidRDefault="003457C2" w:rsidP="003457C2">
      <w:pPr>
        <w:pStyle w:val="ListParagraph"/>
        <w:spacing w:after="0"/>
        <w:ind w:left="540" w:hanging="540"/>
        <w:jc w:val="both"/>
        <w:rPr>
          <w:rFonts w:ascii="Times New Roman" w:eastAsia="Times New Roman" w:hAnsi="Times New Roman" w:cs="Times New Roman"/>
          <w:sz w:val="24"/>
          <w:szCs w:val="24"/>
        </w:rPr>
      </w:pPr>
    </w:p>
    <w:p w14:paraId="04546708"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III. ULJA E GJOBËS</w:t>
      </w:r>
    </w:p>
    <w:p w14:paraId="350153C8"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0EF7EA23" w14:textId="750E4E12"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 xml:space="preserve">A. Kërkesat për </w:t>
      </w:r>
      <w:r w:rsidR="00DF2AF5" w:rsidRPr="00156DC9">
        <w:rPr>
          <w:rFonts w:ascii="Times New Roman" w:eastAsia="Times New Roman" w:hAnsi="Times New Roman" w:cs="Times New Roman"/>
          <w:b/>
          <w:bCs/>
          <w:sz w:val="24"/>
          <w:szCs w:val="24"/>
        </w:rPr>
        <w:t>tu</w:t>
      </w:r>
      <w:r w:rsidRPr="00156DC9">
        <w:rPr>
          <w:rFonts w:ascii="Times New Roman" w:eastAsia="Times New Roman" w:hAnsi="Times New Roman" w:cs="Times New Roman"/>
          <w:b/>
          <w:bCs/>
          <w:sz w:val="24"/>
          <w:szCs w:val="24"/>
        </w:rPr>
        <w:t xml:space="preserve"> kualifikuar për uljen e një gjobe</w:t>
      </w:r>
    </w:p>
    <w:p w14:paraId="57DE0952"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7C186900" w14:textId="1F3144EC"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Ndërmarrjet që zbulojnë pjesëmarrjen e tyre në një kartel të dyshuar që ndikon në tregun shqiptar, të cilat nuk i plotësojnë kushtet sipas seksionit II më sipër, mund të kualifik</w:t>
      </w:r>
      <w:r w:rsidR="00EB3F78" w:rsidRPr="00156DC9">
        <w:rPr>
          <w:rFonts w:ascii="Times New Roman" w:eastAsia="Times New Roman" w:hAnsi="Times New Roman" w:cs="Times New Roman"/>
          <w:sz w:val="24"/>
          <w:szCs w:val="24"/>
        </w:rPr>
        <w:t>ohen</w:t>
      </w:r>
      <w:r w:rsidRPr="00156DC9">
        <w:rPr>
          <w:rFonts w:ascii="Times New Roman" w:eastAsia="Times New Roman" w:hAnsi="Times New Roman" w:cs="Times New Roman"/>
          <w:sz w:val="24"/>
          <w:szCs w:val="24"/>
        </w:rPr>
        <w:t xml:space="preserve"> për të përfituar nga një ulje gjobe që </w:t>
      </w:r>
      <w:r w:rsidR="00EB3F78" w:rsidRPr="00156DC9">
        <w:rPr>
          <w:rFonts w:ascii="Times New Roman" w:eastAsia="Times New Roman" w:hAnsi="Times New Roman" w:cs="Times New Roman"/>
          <w:sz w:val="24"/>
          <w:szCs w:val="24"/>
        </w:rPr>
        <w:t>mund</w:t>
      </w:r>
      <w:r w:rsidRPr="00156DC9">
        <w:rPr>
          <w:rFonts w:ascii="Times New Roman" w:eastAsia="Times New Roman" w:hAnsi="Times New Roman" w:cs="Times New Roman"/>
          <w:sz w:val="24"/>
          <w:szCs w:val="24"/>
        </w:rPr>
        <w:t xml:space="preserve"> të ishte vendosur.</w:t>
      </w:r>
    </w:p>
    <w:p w14:paraId="4F811983"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6BCA1D0" w14:textId="3B09CB3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Për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kualifikuar, një ndërmarrje duhet t’i paraqesë Autoritetit të Konkurrencës prova të shkeljes së pretenduar, të cilat përfaqësojnë vlerë të shtuar të konsiderueshme në lidhje me provat që tashmë ka Autoriteti i Konkurrencës dhe duhet të përmbushin kushtet kumulative të përcaktuara në pikat (12)(a) deri në (12)(c) më sipër.</w:t>
      </w:r>
    </w:p>
    <w:p w14:paraId="2D987FA1"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4E651FE0" w14:textId="32AE6BC8"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Koncepti i 'vlerës së shtuar' i referohet masës në të cilën provat e ofruara forcojnë, nga vetë natyra dhe/ose niveli i detajeve të tyre, aftësinë e Autoritetit të Konkurrencës për të provuar kartelin e supozuar. Në këtë vlerësim, Autoriteti i Konkurrencës në përgjithësi do të konsiderojë provat me shkrim që burojnë nga periudha kohore së cilës i përkasin faktet si të kenë një vlerë më të madhe sesa provat e përcaktuara më pas. Provat inkriminuese që lidhen drejtpërdrejt me faktet në fjalë në përgjithësi do të konsiderohen si të kenë një vlerë më të madhe sesa ato me vetëm rëndësi indirekte. </w:t>
      </w:r>
      <w:r w:rsidR="00EB3F78" w:rsidRPr="00156DC9">
        <w:rPr>
          <w:rFonts w:ascii="Times New Roman" w:eastAsia="Times New Roman" w:hAnsi="Times New Roman" w:cs="Times New Roman"/>
          <w:sz w:val="24"/>
          <w:szCs w:val="24"/>
        </w:rPr>
        <w:t>Në të njëjtën mënyrë, shkalla e mbështetjes me prova të tjera që kërkohet në mënyrë që provat e paraqitura të mund të përdoren kundër ndërmarrjeve të tjera të përfshira në çështje ndikon në vlerën e tyre provuese. Si rrjedhojë, provat bindëse kanë vlerë provuese më të lartë sesa prova të tilla si deklaratat, të cilat, nëse kundërshtohen, duhet të mbështeten me prova të tjera.</w:t>
      </w:r>
    </w:p>
    <w:p w14:paraId="1884ACCB"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4E5A81C" w14:textId="5BDA8800"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Autoriteti i Konkurrencës do të përcaktojë në çdo vendim të miratuar në fund të procedurës administrative nivelin e reduktimit </w:t>
      </w:r>
      <w:r w:rsidR="00EB3F78" w:rsidRPr="00156DC9">
        <w:rPr>
          <w:rFonts w:ascii="Times New Roman" w:eastAsia="Times New Roman" w:hAnsi="Times New Roman" w:cs="Times New Roman"/>
          <w:sz w:val="24"/>
          <w:szCs w:val="24"/>
        </w:rPr>
        <w:t>të</w:t>
      </w:r>
      <w:r w:rsidRPr="00156DC9">
        <w:rPr>
          <w:rFonts w:ascii="Times New Roman" w:eastAsia="Times New Roman" w:hAnsi="Times New Roman" w:cs="Times New Roman"/>
          <w:sz w:val="24"/>
          <w:szCs w:val="24"/>
        </w:rPr>
        <w:t xml:space="preserve"> cili</w:t>
      </w:r>
      <w:r w:rsidR="00EB3F78" w:rsidRPr="00156DC9">
        <w:rPr>
          <w:rFonts w:ascii="Times New Roman" w:eastAsia="Times New Roman" w:hAnsi="Times New Roman" w:cs="Times New Roman"/>
          <w:sz w:val="24"/>
          <w:szCs w:val="24"/>
        </w:rPr>
        <w:t>n</w:t>
      </w:r>
      <w:r w:rsidRPr="00156DC9">
        <w:rPr>
          <w:rFonts w:ascii="Times New Roman" w:eastAsia="Times New Roman" w:hAnsi="Times New Roman" w:cs="Times New Roman"/>
          <w:sz w:val="24"/>
          <w:szCs w:val="24"/>
        </w:rPr>
        <w:t xml:space="preserve"> do të përfitojë një ndërmarrje, në krahasim me gjobën që përndryshe do të vendosej. Për:</w:t>
      </w:r>
    </w:p>
    <w:p w14:paraId="696F1522"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58AA6D2" w14:textId="1E92EE34"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ndërmarrj</w:t>
      </w:r>
      <w:r w:rsidR="00EB3F78" w:rsidRPr="00156DC9">
        <w:rPr>
          <w:rFonts w:ascii="Times New Roman" w:eastAsia="Times New Roman" w:hAnsi="Times New Roman" w:cs="Times New Roman"/>
          <w:sz w:val="24"/>
          <w:szCs w:val="24"/>
        </w:rPr>
        <w:t>en</w:t>
      </w:r>
      <w:r w:rsidRPr="00156DC9">
        <w:rPr>
          <w:rFonts w:ascii="Times New Roman" w:eastAsia="Times New Roman" w:hAnsi="Times New Roman" w:cs="Times New Roman"/>
          <w:sz w:val="24"/>
          <w:szCs w:val="24"/>
        </w:rPr>
        <w:t xml:space="preserve"> e parë </w:t>
      </w:r>
      <w:r w:rsidR="00EB3F78" w:rsidRPr="00156DC9">
        <w:rPr>
          <w:rFonts w:ascii="Times New Roman" w:eastAsia="Times New Roman" w:hAnsi="Times New Roman" w:cs="Times New Roman"/>
          <w:sz w:val="24"/>
          <w:szCs w:val="24"/>
        </w:rPr>
        <w:t>që</w:t>
      </w:r>
      <w:r w:rsidRPr="00156DC9">
        <w:rPr>
          <w:rFonts w:ascii="Times New Roman" w:eastAsia="Times New Roman" w:hAnsi="Times New Roman" w:cs="Times New Roman"/>
          <w:sz w:val="24"/>
          <w:szCs w:val="24"/>
        </w:rPr>
        <w:t xml:space="preserve"> ofr</w:t>
      </w:r>
      <w:r w:rsidR="00EB3F78" w:rsidRPr="00156DC9">
        <w:rPr>
          <w:rFonts w:ascii="Times New Roman" w:eastAsia="Times New Roman" w:hAnsi="Times New Roman" w:cs="Times New Roman"/>
          <w:sz w:val="24"/>
          <w:szCs w:val="24"/>
        </w:rPr>
        <w:t>on</w:t>
      </w:r>
      <w:r w:rsidRPr="00156DC9">
        <w:rPr>
          <w:rFonts w:ascii="Times New Roman" w:eastAsia="Times New Roman" w:hAnsi="Times New Roman" w:cs="Times New Roman"/>
          <w:sz w:val="24"/>
          <w:szCs w:val="24"/>
        </w:rPr>
        <w:t xml:space="preserve"> vlerë të shtuar të konsiderueshme: një ulje prej 30-50%,</w:t>
      </w:r>
    </w:p>
    <w:p w14:paraId="132EAE98"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00ECAAB4" w14:textId="291AEFD1"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ndërmarrj</w:t>
      </w:r>
      <w:r w:rsidR="00EB3F78" w:rsidRPr="00156DC9">
        <w:rPr>
          <w:rFonts w:ascii="Times New Roman" w:eastAsia="Times New Roman" w:hAnsi="Times New Roman" w:cs="Times New Roman"/>
          <w:sz w:val="24"/>
          <w:szCs w:val="24"/>
        </w:rPr>
        <w:t>en</w:t>
      </w:r>
      <w:r w:rsidRPr="00156DC9">
        <w:rPr>
          <w:rFonts w:ascii="Times New Roman" w:eastAsia="Times New Roman" w:hAnsi="Times New Roman" w:cs="Times New Roman"/>
          <w:sz w:val="24"/>
          <w:szCs w:val="24"/>
        </w:rPr>
        <w:t xml:space="preserve"> e dytë </w:t>
      </w:r>
      <w:r w:rsidR="00EB3F78" w:rsidRPr="00156DC9">
        <w:rPr>
          <w:rFonts w:ascii="Times New Roman" w:eastAsia="Times New Roman" w:hAnsi="Times New Roman" w:cs="Times New Roman"/>
          <w:sz w:val="24"/>
          <w:szCs w:val="24"/>
        </w:rPr>
        <w:t xml:space="preserve">që ofron </w:t>
      </w:r>
      <w:r w:rsidRPr="00156DC9">
        <w:rPr>
          <w:rFonts w:ascii="Times New Roman" w:eastAsia="Times New Roman" w:hAnsi="Times New Roman" w:cs="Times New Roman"/>
          <w:sz w:val="24"/>
          <w:szCs w:val="24"/>
        </w:rPr>
        <w:t>vlerë të shtuar të konsiderueshme: një ulje prej 20-30%,</w:t>
      </w:r>
    </w:p>
    <w:p w14:paraId="125D78AF"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6EB9B62" w14:textId="77777777" w:rsidR="003457C2" w:rsidRPr="00156DC9" w:rsidRDefault="003457C2" w:rsidP="003457C2">
      <w:pPr>
        <w:pStyle w:val="ListParagraph"/>
        <w:numPr>
          <w:ilvl w:val="0"/>
          <w:numId w:val="4"/>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ndërmarrjet pasuese që ofrojnë vlerë të shtuar të konsiderueshme: një ulje deri në 20%.</w:t>
      </w:r>
    </w:p>
    <w:p w14:paraId="37B4BA5C"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2B5E1CA6" w14:textId="672A238A" w:rsidR="003457C2" w:rsidRPr="00156DC9" w:rsidRDefault="003457C2" w:rsidP="00CE67CE">
      <w:pPr>
        <w:spacing w:after="0" w:line="240" w:lineRule="auto"/>
        <w:ind w:left="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Për të përcaktuar nivelin e reduktimit brenda secilit prej këtyre brezave, Autoriteti i Konkurrencës do të marrë në konsideratë kohën në të cilën janë paraqitur provat që plotësojnë kushtin në pikën (</w:t>
      </w:r>
      <w:r w:rsidR="006370C5" w:rsidRPr="00156DC9">
        <w:rPr>
          <w:rFonts w:ascii="Times New Roman" w:eastAsia="Times New Roman" w:hAnsi="Times New Roman" w:cs="Times New Roman"/>
          <w:sz w:val="24"/>
          <w:szCs w:val="24"/>
        </w:rPr>
        <w:t>32</w:t>
      </w:r>
      <w:r w:rsidRPr="00156DC9">
        <w:rPr>
          <w:rFonts w:ascii="Times New Roman" w:eastAsia="Times New Roman" w:hAnsi="Times New Roman" w:cs="Times New Roman"/>
          <w:sz w:val="24"/>
          <w:szCs w:val="24"/>
        </w:rPr>
        <w:t>) dhe masën në të cilën ato përfaqësojnë vlerë të shtuar.</w:t>
      </w:r>
    </w:p>
    <w:p w14:paraId="547DD788" w14:textId="77777777" w:rsidR="003457C2" w:rsidRPr="00156DC9" w:rsidRDefault="003457C2" w:rsidP="00CE67CE">
      <w:pPr>
        <w:spacing w:after="0" w:line="240" w:lineRule="auto"/>
        <w:ind w:left="540"/>
        <w:jc w:val="both"/>
        <w:rPr>
          <w:rFonts w:ascii="Times New Roman" w:eastAsia="Times New Roman" w:hAnsi="Times New Roman" w:cs="Times New Roman"/>
          <w:sz w:val="24"/>
          <w:szCs w:val="24"/>
        </w:rPr>
      </w:pPr>
    </w:p>
    <w:p w14:paraId="7AC26454" w14:textId="22DB3B93" w:rsidR="003457C2" w:rsidRPr="00156DC9" w:rsidRDefault="003457C2" w:rsidP="00CE67CE">
      <w:pPr>
        <w:spacing w:after="0" w:line="240" w:lineRule="auto"/>
        <w:ind w:left="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Nëse aplikanti për uljen e gjobës është i pari që paraqet prova bindëse në kuptimin e pikës (</w:t>
      </w:r>
      <w:r w:rsidR="006370C5" w:rsidRPr="00156DC9">
        <w:rPr>
          <w:rFonts w:ascii="Times New Roman" w:eastAsia="Times New Roman" w:hAnsi="Times New Roman" w:cs="Times New Roman"/>
          <w:sz w:val="24"/>
          <w:szCs w:val="24"/>
        </w:rPr>
        <w:t>33</w:t>
      </w:r>
      <w:r w:rsidRPr="00156DC9">
        <w:rPr>
          <w:rFonts w:ascii="Times New Roman" w:eastAsia="Times New Roman" w:hAnsi="Times New Roman" w:cs="Times New Roman"/>
          <w:sz w:val="24"/>
          <w:szCs w:val="24"/>
        </w:rPr>
        <w:t>) të cilat Autoriteti i Konkurrencës i përdor për të përcaktuar fakte shtesë që rrisin rëndësinë ose kohëzgjatjen e shkeljes, Autoriteti i Konkurrencës nuk do t'i marrë parasysh fakte</w:t>
      </w:r>
      <w:r w:rsidR="00EB3F78" w:rsidRPr="00156DC9">
        <w:rPr>
          <w:rFonts w:ascii="Times New Roman" w:eastAsia="Times New Roman" w:hAnsi="Times New Roman" w:cs="Times New Roman"/>
          <w:sz w:val="24"/>
          <w:szCs w:val="24"/>
        </w:rPr>
        <w:t>t</w:t>
      </w:r>
      <w:r w:rsidRPr="00156DC9">
        <w:rPr>
          <w:rFonts w:ascii="Times New Roman" w:eastAsia="Times New Roman" w:hAnsi="Times New Roman" w:cs="Times New Roman"/>
          <w:sz w:val="24"/>
          <w:szCs w:val="24"/>
        </w:rPr>
        <w:t xml:space="preserve"> shtesë kur cakton gjobë</w:t>
      </w:r>
      <w:r w:rsidR="00EB3F78" w:rsidRPr="00156DC9">
        <w:rPr>
          <w:rFonts w:ascii="Times New Roman" w:eastAsia="Times New Roman" w:hAnsi="Times New Roman" w:cs="Times New Roman"/>
          <w:sz w:val="24"/>
          <w:szCs w:val="24"/>
        </w:rPr>
        <w:t>n</w:t>
      </w:r>
      <w:r w:rsidRPr="00156DC9">
        <w:rPr>
          <w:rFonts w:ascii="Times New Roman" w:eastAsia="Times New Roman" w:hAnsi="Times New Roman" w:cs="Times New Roman"/>
          <w:sz w:val="24"/>
          <w:szCs w:val="24"/>
        </w:rPr>
        <w:t xml:space="preserve"> që do t'i vendoset ndërmarrjes që i ka ofruar këto prova.</w:t>
      </w:r>
    </w:p>
    <w:p w14:paraId="0E8FE840"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41CD8AEF"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B. Procedura</w:t>
      </w:r>
    </w:p>
    <w:p w14:paraId="0557C8B2"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13BB0E49" w14:textId="189ECFC1"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Një ndërmarrje që dëshiron të përfitojë nga ulj</w:t>
      </w:r>
      <w:r w:rsidR="00A4251C" w:rsidRPr="00156DC9">
        <w:rPr>
          <w:rFonts w:ascii="Times New Roman" w:eastAsia="Times New Roman" w:hAnsi="Times New Roman" w:cs="Times New Roman"/>
          <w:sz w:val="24"/>
          <w:szCs w:val="24"/>
        </w:rPr>
        <w:t>a</w:t>
      </w:r>
      <w:r w:rsidRPr="00156DC9">
        <w:rPr>
          <w:rFonts w:ascii="Times New Roman" w:eastAsia="Times New Roman" w:hAnsi="Times New Roman" w:cs="Times New Roman"/>
          <w:sz w:val="24"/>
          <w:szCs w:val="24"/>
        </w:rPr>
        <w:t xml:space="preserve"> e gjobës duhet të paraqesë një kërkesë zyrtare pranë Autoritetit të Konkurrencës dhe duhet t'i paraqesë </w:t>
      </w:r>
      <w:r w:rsidR="00A4251C" w:rsidRPr="00156DC9">
        <w:rPr>
          <w:rFonts w:ascii="Times New Roman" w:eastAsia="Times New Roman" w:hAnsi="Times New Roman" w:cs="Times New Roman"/>
          <w:sz w:val="24"/>
          <w:szCs w:val="24"/>
        </w:rPr>
        <w:t>Autoritetit</w:t>
      </w:r>
      <w:r w:rsidRPr="00156DC9">
        <w:rPr>
          <w:rFonts w:ascii="Times New Roman" w:eastAsia="Times New Roman" w:hAnsi="Times New Roman" w:cs="Times New Roman"/>
          <w:sz w:val="24"/>
          <w:szCs w:val="24"/>
        </w:rPr>
        <w:t xml:space="preserve"> prova të mjaftueshme </w:t>
      </w:r>
      <w:r w:rsidR="00A4251C" w:rsidRPr="00156DC9">
        <w:rPr>
          <w:rFonts w:ascii="Times New Roman" w:eastAsia="Times New Roman" w:hAnsi="Times New Roman" w:cs="Times New Roman"/>
          <w:sz w:val="24"/>
          <w:szCs w:val="24"/>
        </w:rPr>
        <w:t>mbi</w:t>
      </w:r>
      <w:r w:rsidRPr="00156DC9">
        <w:rPr>
          <w:rFonts w:ascii="Times New Roman" w:eastAsia="Times New Roman" w:hAnsi="Times New Roman" w:cs="Times New Roman"/>
          <w:sz w:val="24"/>
          <w:szCs w:val="24"/>
        </w:rPr>
        <w:t xml:space="preserve"> karteli</w:t>
      </w:r>
      <w:r w:rsidR="00A4251C" w:rsidRPr="00156DC9">
        <w:rPr>
          <w:rFonts w:ascii="Times New Roman" w:eastAsia="Times New Roman" w:hAnsi="Times New Roman" w:cs="Times New Roman"/>
          <w:sz w:val="24"/>
          <w:szCs w:val="24"/>
        </w:rPr>
        <w:t>n</w:t>
      </w:r>
      <w:r w:rsidRPr="00156DC9">
        <w:rPr>
          <w:rFonts w:ascii="Times New Roman" w:eastAsia="Times New Roman" w:hAnsi="Times New Roman" w:cs="Times New Roman"/>
          <w:sz w:val="24"/>
          <w:szCs w:val="24"/>
        </w:rPr>
        <w:t xml:space="preserve"> </w:t>
      </w:r>
      <w:r w:rsidR="00A4251C" w:rsidRPr="00156DC9">
        <w:rPr>
          <w:rFonts w:ascii="Times New Roman" w:eastAsia="Times New Roman" w:hAnsi="Times New Roman" w:cs="Times New Roman"/>
          <w:sz w:val="24"/>
          <w:szCs w:val="24"/>
        </w:rPr>
        <w:t>e</w:t>
      </w:r>
      <w:r w:rsidRPr="00156DC9">
        <w:rPr>
          <w:rFonts w:ascii="Times New Roman" w:eastAsia="Times New Roman" w:hAnsi="Times New Roman" w:cs="Times New Roman"/>
          <w:sz w:val="24"/>
          <w:szCs w:val="24"/>
        </w:rPr>
        <w:t xml:space="preserve"> dyshuar për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kualifikuar për ulje të gjobës në përputhje me pikën (</w:t>
      </w:r>
      <w:r w:rsidR="006370C5" w:rsidRPr="00156DC9">
        <w:rPr>
          <w:rFonts w:ascii="Times New Roman" w:eastAsia="Times New Roman" w:hAnsi="Times New Roman" w:cs="Times New Roman"/>
          <w:sz w:val="24"/>
          <w:szCs w:val="24"/>
        </w:rPr>
        <w:t>32</w:t>
      </w:r>
      <w:r w:rsidRPr="00156DC9">
        <w:rPr>
          <w:rFonts w:ascii="Times New Roman" w:eastAsia="Times New Roman" w:hAnsi="Times New Roman" w:cs="Times New Roman"/>
          <w:sz w:val="24"/>
          <w:szCs w:val="24"/>
        </w:rPr>
        <w:t>) të këtij Udhëzimi. Çdo paraqitje vullnetare e provave pranë Autoritetit të Konkurrencës, të cilat ndërmarrja që i paraqet dëshiron të merren në konsideratë për trajtimin përfitues të seksionit III të këtij Udhëzimi, duhet të identifikohet qartë në kohën e paraqitjes së tyre si pjesë e një kërkese zyrtare për ulje të gjobës.</w:t>
      </w:r>
    </w:p>
    <w:p w14:paraId="0A1FD426"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021A702E" w14:textId="0F14A095"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Nëse kërkohet, Autoriteti i Konkurrencës do të japë një konfirmim të marrjes së kërkesës së ndërmarrjes për uljen e gjobës dhe të çdo paraqitjeje të mëvonshme të provave, duke konfirmuar datën dhe, kur është e përshtatshme, kohën e çdo dorëzimi. Autoriteti i Konkurrencës nuk do të mbajë asnjë qëndrim mbi kërkes</w:t>
      </w:r>
      <w:r w:rsidR="00A4251C" w:rsidRPr="00156DC9">
        <w:rPr>
          <w:rFonts w:ascii="Times New Roman" w:eastAsia="Times New Roman" w:hAnsi="Times New Roman" w:cs="Times New Roman"/>
          <w:sz w:val="24"/>
          <w:szCs w:val="24"/>
        </w:rPr>
        <w:t>aa</w:t>
      </w:r>
      <w:r w:rsidRPr="00156DC9">
        <w:rPr>
          <w:rFonts w:ascii="Times New Roman" w:eastAsia="Times New Roman" w:hAnsi="Times New Roman" w:cs="Times New Roman"/>
          <w:sz w:val="24"/>
          <w:szCs w:val="24"/>
        </w:rPr>
        <w:t xml:space="preserve"> për ulje gjob</w:t>
      </w:r>
      <w:r w:rsidR="00A4251C" w:rsidRPr="00156DC9">
        <w:rPr>
          <w:rFonts w:ascii="Times New Roman" w:eastAsia="Times New Roman" w:hAnsi="Times New Roman" w:cs="Times New Roman"/>
          <w:sz w:val="24"/>
          <w:szCs w:val="24"/>
        </w:rPr>
        <w:t>ash</w:t>
      </w:r>
      <w:r w:rsidRPr="00156DC9">
        <w:rPr>
          <w:rFonts w:ascii="Times New Roman" w:eastAsia="Times New Roman" w:hAnsi="Times New Roman" w:cs="Times New Roman"/>
          <w:sz w:val="24"/>
          <w:szCs w:val="24"/>
        </w:rPr>
        <w:t xml:space="preserve"> përpara se të ketë </w:t>
      </w:r>
      <w:r w:rsidR="00A4251C" w:rsidRPr="00156DC9">
        <w:rPr>
          <w:rFonts w:ascii="Times New Roman" w:eastAsia="Times New Roman" w:hAnsi="Times New Roman" w:cs="Times New Roman"/>
          <w:sz w:val="24"/>
          <w:szCs w:val="24"/>
        </w:rPr>
        <w:t>arritur</w:t>
      </w:r>
      <w:r w:rsidRPr="00156DC9">
        <w:rPr>
          <w:rFonts w:ascii="Times New Roman" w:eastAsia="Times New Roman" w:hAnsi="Times New Roman" w:cs="Times New Roman"/>
          <w:sz w:val="24"/>
          <w:szCs w:val="24"/>
        </w:rPr>
        <w:t xml:space="preserve"> një </w:t>
      </w:r>
      <w:r w:rsidR="00E83C82" w:rsidRPr="00156DC9">
        <w:rPr>
          <w:rFonts w:ascii="Times New Roman" w:eastAsia="Times New Roman" w:hAnsi="Times New Roman" w:cs="Times New Roman"/>
          <w:sz w:val="24"/>
          <w:szCs w:val="24"/>
        </w:rPr>
        <w:t>vendim</w:t>
      </w:r>
      <w:r w:rsidRPr="00156DC9">
        <w:rPr>
          <w:rFonts w:ascii="Times New Roman" w:eastAsia="Times New Roman" w:hAnsi="Times New Roman" w:cs="Times New Roman"/>
          <w:sz w:val="24"/>
          <w:szCs w:val="24"/>
        </w:rPr>
        <w:t xml:space="preserve"> mbi çdo kërkesë ekzistuese për imunitet me kusht nga gjobat në lidhje me të njëjtin kartel të dyshuar.</w:t>
      </w:r>
    </w:p>
    <w:p w14:paraId="4B4E34EE"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12516C5A" w14:textId="32611A40"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Nëse Autoriteti i Konkurrencës arrin në përfundimin paraprak se provat e paraqitura nga ndërmarrja përbëjnë vlerë të shtuar të konsiderueshme sipas kuptimit të pikave (</w:t>
      </w:r>
      <w:r w:rsidR="006370C5" w:rsidRPr="00156DC9">
        <w:rPr>
          <w:rFonts w:ascii="Times New Roman" w:eastAsia="Times New Roman" w:hAnsi="Times New Roman" w:cs="Times New Roman"/>
          <w:sz w:val="24"/>
          <w:szCs w:val="24"/>
        </w:rPr>
        <w:t>32</w:t>
      </w:r>
      <w:r w:rsidRPr="00156DC9">
        <w:rPr>
          <w:rFonts w:ascii="Times New Roman" w:eastAsia="Times New Roman" w:hAnsi="Times New Roman" w:cs="Times New Roman"/>
          <w:sz w:val="24"/>
          <w:szCs w:val="24"/>
        </w:rPr>
        <w:t>) dhe (</w:t>
      </w:r>
      <w:r w:rsidR="006370C5" w:rsidRPr="00156DC9">
        <w:rPr>
          <w:rFonts w:ascii="Times New Roman" w:eastAsia="Times New Roman" w:hAnsi="Times New Roman" w:cs="Times New Roman"/>
          <w:sz w:val="24"/>
          <w:szCs w:val="24"/>
        </w:rPr>
        <w:t>33</w:t>
      </w:r>
      <w:r w:rsidRPr="00156DC9">
        <w:rPr>
          <w:rFonts w:ascii="Times New Roman" w:eastAsia="Times New Roman" w:hAnsi="Times New Roman" w:cs="Times New Roman"/>
          <w:sz w:val="24"/>
          <w:szCs w:val="24"/>
        </w:rPr>
        <w:t>), dhe se ndërmarrja ka përmbushur kushtet e pikave (12) dhe (</w:t>
      </w:r>
      <w:r w:rsidR="006370C5" w:rsidRPr="00156DC9">
        <w:rPr>
          <w:rFonts w:ascii="Times New Roman" w:eastAsia="Times New Roman" w:hAnsi="Times New Roman" w:cs="Times New Roman"/>
          <w:sz w:val="24"/>
          <w:szCs w:val="24"/>
        </w:rPr>
        <w:t>35</w:t>
      </w:r>
      <w:r w:rsidRPr="00156DC9">
        <w:rPr>
          <w:rFonts w:ascii="Times New Roman" w:eastAsia="Times New Roman" w:hAnsi="Times New Roman" w:cs="Times New Roman"/>
          <w:sz w:val="24"/>
          <w:szCs w:val="24"/>
        </w:rPr>
        <w:t xml:space="preserve">), </w:t>
      </w:r>
      <w:r w:rsidR="00E83C82" w:rsidRPr="00156DC9">
        <w:rPr>
          <w:rFonts w:ascii="Times New Roman" w:eastAsia="Times New Roman" w:hAnsi="Times New Roman" w:cs="Times New Roman"/>
          <w:sz w:val="24"/>
          <w:szCs w:val="24"/>
        </w:rPr>
        <w:t>Autoriteti</w:t>
      </w:r>
      <w:r w:rsidRPr="00156DC9">
        <w:rPr>
          <w:rFonts w:ascii="Times New Roman" w:eastAsia="Times New Roman" w:hAnsi="Times New Roman" w:cs="Times New Roman"/>
          <w:sz w:val="24"/>
          <w:szCs w:val="24"/>
        </w:rPr>
        <w:t xml:space="preserve"> do ta informojë ndërmarrjen me shkrim, jo më vonë se data në të cilën njoftohet një </w:t>
      </w:r>
      <w:r w:rsidR="00E83C82" w:rsidRPr="00156DC9">
        <w:rPr>
          <w:rFonts w:ascii="Times New Roman" w:eastAsia="Times New Roman" w:hAnsi="Times New Roman" w:cs="Times New Roman"/>
          <w:sz w:val="24"/>
          <w:szCs w:val="24"/>
        </w:rPr>
        <w:t>vendim</w:t>
      </w:r>
      <w:r w:rsidRPr="00156DC9">
        <w:rPr>
          <w:rFonts w:ascii="Times New Roman" w:eastAsia="Times New Roman" w:hAnsi="Times New Roman" w:cs="Times New Roman"/>
          <w:sz w:val="24"/>
          <w:szCs w:val="24"/>
        </w:rPr>
        <w:t>, për qëllimin e tij për të aplikuar një ulje të gjobës brenda një intervali të caktuar siç parashikohet në pikën (</w:t>
      </w:r>
      <w:r w:rsidR="006370C5" w:rsidRPr="00156DC9">
        <w:rPr>
          <w:rFonts w:ascii="Times New Roman" w:eastAsia="Times New Roman" w:hAnsi="Times New Roman" w:cs="Times New Roman"/>
          <w:sz w:val="24"/>
          <w:szCs w:val="24"/>
        </w:rPr>
        <w:t>34</w:t>
      </w:r>
      <w:r w:rsidRPr="00156DC9">
        <w:rPr>
          <w:rFonts w:ascii="Times New Roman" w:eastAsia="Times New Roman" w:hAnsi="Times New Roman" w:cs="Times New Roman"/>
          <w:sz w:val="24"/>
          <w:szCs w:val="24"/>
        </w:rPr>
        <w:t xml:space="preserve">). Autoriteti i Konkurrencës gjithashtu, brenda të njëjtit afat kohor, do ta informojë ndërmarrjen me shkrim nëse </w:t>
      </w:r>
      <w:r w:rsidR="00E83C82" w:rsidRPr="00156DC9">
        <w:rPr>
          <w:rFonts w:ascii="Times New Roman" w:eastAsia="Times New Roman" w:hAnsi="Times New Roman" w:cs="Times New Roman"/>
          <w:sz w:val="24"/>
          <w:szCs w:val="24"/>
        </w:rPr>
        <w:t>del me</w:t>
      </w:r>
      <w:r w:rsidRPr="00156DC9">
        <w:rPr>
          <w:rFonts w:ascii="Times New Roman" w:eastAsia="Times New Roman" w:hAnsi="Times New Roman" w:cs="Times New Roman"/>
          <w:sz w:val="24"/>
          <w:szCs w:val="24"/>
        </w:rPr>
        <w:t xml:space="preserve"> </w:t>
      </w:r>
      <w:r w:rsidR="00E83C82" w:rsidRPr="00156DC9">
        <w:rPr>
          <w:rFonts w:ascii="Times New Roman" w:eastAsia="Times New Roman" w:hAnsi="Times New Roman" w:cs="Times New Roman"/>
          <w:sz w:val="24"/>
          <w:szCs w:val="24"/>
        </w:rPr>
        <w:t>vendimin</w:t>
      </w:r>
      <w:r w:rsidRPr="00156DC9">
        <w:rPr>
          <w:rFonts w:ascii="Times New Roman" w:eastAsia="Times New Roman" w:hAnsi="Times New Roman" w:cs="Times New Roman"/>
          <w:sz w:val="24"/>
          <w:szCs w:val="24"/>
        </w:rPr>
        <w:t xml:space="preserve"> se ndërmarrja nuk kualifikohet për ulje të gjobës. Autoriteti i Konkurrencës mund të mos marrë në konsideratë çdo kërkesë për ulje të gjobave me arsyetimin se ajo është paraqitur pasi është lëshuar </w:t>
      </w:r>
      <w:r w:rsidR="00E83C82" w:rsidRPr="00156DC9">
        <w:rPr>
          <w:rFonts w:ascii="Times New Roman" w:eastAsia="Times New Roman" w:hAnsi="Times New Roman" w:cs="Times New Roman"/>
          <w:sz w:val="24"/>
          <w:szCs w:val="24"/>
        </w:rPr>
        <w:t>vendimi</w:t>
      </w:r>
      <w:r w:rsidRPr="00156DC9">
        <w:rPr>
          <w:rFonts w:ascii="Times New Roman" w:eastAsia="Times New Roman" w:hAnsi="Times New Roman" w:cs="Times New Roman"/>
          <w:sz w:val="24"/>
          <w:szCs w:val="24"/>
        </w:rPr>
        <w:t>.</w:t>
      </w:r>
    </w:p>
    <w:p w14:paraId="58B673AA"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A8018B9" w14:textId="5BC2833A"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Autoriteti i Konkurrencës do të vlerësojë pozicionin përfundimtar të secilës ndërmarrje që ka paraqitur një kërkesë për uljen e gjobës në fund të procedurës administrative në çdo vendim të marrë. Autoriteti i Konkurrencës do të përcaktojë në çdo vendim:</w:t>
      </w:r>
    </w:p>
    <w:p w14:paraId="4F41547D"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18530CBD" w14:textId="59EB4C54" w:rsidR="003457C2" w:rsidRPr="00156DC9" w:rsidRDefault="003457C2" w:rsidP="003457C2">
      <w:pPr>
        <w:pStyle w:val="ListParagraph"/>
        <w:numPr>
          <w:ilvl w:val="0"/>
          <w:numId w:val="6"/>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nëse provat e ofruara nga një ndërmarrje përfaqësonin vlerë të shtuar të konsiderueshme në lidhje me provat</w:t>
      </w:r>
      <w:r w:rsidR="006811F4" w:rsidRPr="00156DC9">
        <w:rPr>
          <w:rFonts w:ascii="Times New Roman" w:eastAsia="Times New Roman" w:hAnsi="Times New Roman" w:cs="Times New Roman"/>
          <w:sz w:val="24"/>
          <w:szCs w:val="24"/>
        </w:rPr>
        <w:t xml:space="preserve"> tashmë</w:t>
      </w:r>
      <w:r w:rsidRPr="00156DC9">
        <w:rPr>
          <w:rFonts w:ascii="Times New Roman" w:eastAsia="Times New Roman" w:hAnsi="Times New Roman" w:cs="Times New Roman"/>
          <w:sz w:val="24"/>
          <w:szCs w:val="24"/>
        </w:rPr>
        <w:t xml:space="preserve"> në posedim të Autoritetit të Konkurrencës në të njëjtën kohë;</w:t>
      </w:r>
    </w:p>
    <w:p w14:paraId="451C7385"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F888C61" w14:textId="77777777" w:rsidR="003457C2" w:rsidRPr="00156DC9" w:rsidRDefault="003457C2" w:rsidP="003457C2">
      <w:pPr>
        <w:pStyle w:val="ListParagraph"/>
        <w:numPr>
          <w:ilvl w:val="0"/>
          <w:numId w:val="6"/>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nëse janë përmbushur kushtet e përcaktuara në pikat (12)(a) deri në (12)(c) më sipër;</w:t>
      </w:r>
    </w:p>
    <w:p w14:paraId="647E67FC"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60682D66" w14:textId="67984C42" w:rsidR="003457C2" w:rsidRPr="00156DC9" w:rsidRDefault="003457C2" w:rsidP="003457C2">
      <w:pPr>
        <w:pStyle w:val="ListParagraph"/>
        <w:numPr>
          <w:ilvl w:val="0"/>
          <w:numId w:val="6"/>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niveli i saktë i reduktimit nga i cili do të përfitojë një ndërmarrje brenda intervaleve të specifikuara në pikën (</w:t>
      </w:r>
      <w:r w:rsidR="00912C28" w:rsidRPr="00156DC9">
        <w:rPr>
          <w:rFonts w:ascii="Times New Roman" w:eastAsia="Times New Roman" w:hAnsi="Times New Roman" w:cs="Times New Roman"/>
          <w:sz w:val="24"/>
          <w:szCs w:val="24"/>
        </w:rPr>
        <w:t>34</w:t>
      </w:r>
      <w:r w:rsidRPr="00156DC9">
        <w:rPr>
          <w:rFonts w:ascii="Times New Roman" w:eastAsia="Times New Roman" w:hAnsi="Times New Roman" w:cs="Times New Roman"/>
          <w:sz w:val="24"/>
          <w:szCs w:val="24"/>
        </w:rPr>
        <w:t>).</w:t>
      </w:r>
    </w:p>
    <w:p w14:paraId="17A28FC1"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52718F97" w14:textId="77777777" w:rsidR="003457C2" w:rsidRPr="00156DC9" w:rsidRDefault="003457C2" w:rsidP="006811F4">
      <w:pPr>
        <w:tabs>
          <w:tab w:val="left" w:pos="540"/>
        </w:tabs>
        <w:spacing w:after="0" w:line="240" w:lineRule="auto"/>
        <w:ind w:left="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Nëse Autoriteti i Konkurrencës konstaton se ndërmarrja nuk i ka përmbushur kushtet e përcaktuara në pikën (12), ndërmarrja nuk do të përfitojë nga asnjë trajtim i favorshëm sipas këtij Udhëzimi.</w:t>
      </w:r>
    </w:p>
    <w:p w14:paraId="699E81B3"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00E294CF" w14:textId="273AB599"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 xml:space="preserve">IV. DEKLARATA TË </w:t>
      </w:r>
      <w:r w:rsidR="000A1A75" w:rsidRPr="00156DC9">
        <w:rPr>
          <w:rFonts w:ascii="Times New Roman" w:eastAsia="Times New Roman" w:hAnsi="Times New Roman" w:cs="Times New Roman"/>
          <w:b/>
          <w:bCs/>
          <w:sz w:val="24"/>
          <w:szCs w:val="24"/>
        </w:rPr>
        <w:t>SHOQËRISË</w:t>
      </w:r>
      <w:r w:rsidRPr="00156DC9">
        <w:rPr>
          <w:rFonts w:ascii="Times New Roman" w:eastAsia="Times New Roman" w:hAnsi="Times New Roman" w:cs="Times New Roman"/>
          <w:b/>
          <w:bCs/>
          <w:sz w:val="24"/>
          <w:szCs w:val="24"/>
        </w:rPr>
        <w:t xml:space="preserve"> TË BËRA PËR </w:t>
      </w:r>
      <w:r w:rsidR="00DF2AF5" w:rsidRPr="00156DC9">
        <w:rPr>
          <w:rFonts w:ascii="Times New Roman" w:eastAsia="Times New Roman" w:hAnsi="Times New Roman" w:cs="Times New Roman"/>
          <w:b/>
          <w:bCs/>
          <w:sz w:val="24"/>
          <w:szCs w:val="24"/>
        </w:rPr>
        <w:t>TU</w:t>
      </w:r>
      <w:r w:rsidRPr="00156DC9">
        <w:rPr>
          <w:rFonts w:ascii="Times New Roman" w:eastAsia="Times New Roman" w:hAnsi="Times New Roman" w:cs="Times New Roman"/>
          <w:b/>
          <w:bCs/>
          <w:sz w:val="24"/>
          <w:szCs w:val="24"/>
        </w:rPr>
        <w:t xml:space="preserve"> KUALIFIKUAR SIPAS KËTIJ UDHËZIMI</w:t>
      </w:r>
    </w:p>
    <w:p w14:paraId="0F738871"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5E461637" w14:textId="5E365AD2"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Një deklaratë e </w:t>
      </w:r>
      <w:r w:rsidR="000A1A75" w:rsidRPr="00156DC9">
        <w:rPr>
          <w:rFonts w:ascii="Times New Roman" w:eastAsia="Times New Roman" w:hAnsi="Times New Roman" w:cs="Times New Roman"/>
          <w:sz w:val="24"/>
          <w:szCs w:val="24"/>
        </w:rPr>
        <w:t>shoqërisë</w:t>
      </w:r>
      <w:r w:rsidRPr="00156DC9">
        <w:rPr>
          <w:rFonts w:ascii="Times New Roman" w:eastAsia="Times New Roman" w:hAnsi="Times New Roman" w:cs="Times New Roman"/>
          <w:sz w:val="24"/>
          <w:szCs w:val="24"/>
        </w:rPr>
        <w:t xml:space="preserve"> është një </w:t>
      </w:r>
      <w:r w:rsidR="00E60EED" w:rsidRPr="00156DC9">
        <w:rPr>
          <w:rFonts w:ascii="Times New Roman" w:eastAsia="Times New Roman" w:hAnsi="Times New Roman" w:cs="Times New Roman"/>
          <w:sz w:val="24"/>
          <w:szCs w:val="24"/>
        </w:rPr>
        <w:t>deklarim</w:t>
      </w:r>
      <w:r w:rsidRPr="00156DC9">
        <w:rPr>
          <w:rFonts w:ascii="Times New Roman" w:eastAsia="Times New Roman" w:hAnsi="Times New Roman" w:cs="Times New Roman"/>
          <w:sz w:val="24"/>
          <w:szCs w:val="24"/>
        </w:rPr>
        <w:t xml:space="preserve"> vullnetar</w:t>
      </w:r>
      <w:r w:rsidR="00E60EED"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nga ose në emër të një ndërmarrjeje ndaj Autoritetit të Konkurrencës</w:t>
      </w:r>
      <w:r w:rsidR="00E60EED" w:rsidRPr="00156DC9">
        <w:rPr>
          <w:rFonts w:ascii="Times New Roman" w:eastAsia="Times New Roman" w:hAnsi="Times New Roman" w:cs="Times New Roman"/>
          <w:sz w:val="24"/>
          <w:szCs w:val="24"/>
        </w:rPr>
        <w:t>,</w:t>
      </w:r>
      <w:r w:rsidRPr="00156DC9">
        <w:rPr>
          <w:rFonts w:ascii="Times New Roman" w:eastAsia="Times New Roman" w:hAnsi="Times New Roman" w:cs="Times New Roman"/>
          <w:sz w:val="24"/>
          <w:szCs w:val="24"/>
        </w:rPr>
        <w:t xml:space="preserve"> i njohurive të ndërmarrjes </w:t>
      </w:r>
      <w:r w:rsidR="00E60EED" w:rsidRPr="00156DC9">
        <w:rPr>
          <w:rFonts w:ascii="Times New Roman" w:eastAsia="Times New Roman" w:hAnsi="Times New Roman" w:cs="Times New Roman"/>
          <w:sz w:val="24"/>
          <w:szCs w:val="24"/>
        </w:rPr>
        <w:t>mbi</w:t>
      </w:r>
      <w:r w:rsidRPr="00156DC9">
        <w:rPr>
          <w:rFonts w:ascii="Times New Roman" w:eastAsia="Times New Roman" w:hAnsi="Times New Roman" w:cs="Times New Roman"/>
          <w:sz w:val="24"/>
          <w:szCs w:val="24"/>
        </w:rPr>
        <w:t xml:space="preserve"> një kartel dhe rolin e saj në të, i përgatitur posaçërisht për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paraqitur sipas këtij Udhëzimi. Çdo deklaratë e bërë ndaj Autoritetit të Konkurrencës në lidhje me këtë Udhëzim, përbën pjesë të dosjes së Autoritetit të Konkurrencës dhe kështu mund të përdoret si provë.</w:t>
      </w:r>
    </w:p>
    <w:p w14:paraId="41CF260B"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42F33EED" w14:textId="4B3F5326"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Me kërkesën e aplikantit, Autoriteti i Konkurrencës mund të pranojë që deklaratat e </w:t>
      </w:r>
      <w:r w:rsidR="000A1A75" w:rsidRPr="00156DC9">
        <w:rPr>
          <w:rFonts w:ascii="Times New Roman" w:eastAsia="Times New Roman" w:hAnsi="Times New Roman" w:cs="Times New Roman"/>
          <w:sz w:val="24"/>
          <w:szCs w:val="24"/>
        </w:rPr>
        <w:t>shoqërisë</w:t>
      </w:r>
      <w:r w:rsidRPr="00156DC9">
        <w:rPr>
          <w:rFonts w:ascii="Times New Roman" w:eastAsia="Times New Roman" w:hAnsi="Times New Roman" w:cs="Times New Roman"/>
          <w:sz w:val="24"/>
          <w:szCs w:val="24"/>
        </w:rPr>
        <w:t xml:space="preserve"> të ofrohen me gojë, përveç nëse aplikanti ua ka zbuluar tashmë përmbajtjen e deklaratës së </w:t>
      </w:r>
      <w:r w:rsidR="000A1A75" w:rsidRPr="00156DC9">
        <w:rPr>
          <w:rFonts w:ascii="Times New Roman" w:eastAsia="Times New Roman" w:hAnsi="Times New Roman" w:cs="Times New Roman"/>
          <w:sz w:val="24"/>
          <w:szCs w:val="24"/>
        </w:rPr>
        <w:t>shoqërisë</w:t>
      </w:r>
      <w:r w:rsidRPr="00156DC9">
        <w:rPr>
          <w:rFonts w:ascii="Times New Roman" w:eastAsia="Times New Roman" w:hAnsi="Times New Roman" w:cs="Times New Roman"/>
          <w:sz w:val="24"/>
          <w:szCs w:val="24"/>
        </w:rPr>
        <w:t xml:space="preserve"> palëve të treta. Deklaratat me gojë të </w:t>
      </w:r>
      <w:r w:rsidR="000A1A75" w:rsidRPr="00156DC9">
        <w:rPr>
          <w:rFonts w:ascii="Times New Roman" w:eastAsia="Times New Roman" w:hAnsi="Times New Roman" w:cs="Times New Roman"/>
          <w:sz w:val="24"/>
          <w:szCs w:val="24"/>
        </w:rPr>
        <w:t>shoqërisë</w:t>
      </w:r>
      <w:r w:rsidRPr="00156DC9">
        <w:rPr>
          <w:rFonts w:ascii="Times New Roman" w:eastAsia="Times New Roman" w:hAnsi="Times New Roman" w:cs="Times New Roman"/>
          <w:sz w:val="24"/>
          <w:szCs w:val="24"/>
        </w:rPr>
        <w:t xml:space="preserve"> do të regjistrohen dhe transkriptohen në ambientet e Autoritetit të Konkurrencës. Në përputhje me ligjet dhe rregulloret në fuqi, ndërmarrjeve që bëjnë deklarata me gojë do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jepet mundësia të kontrollojnë saktësinë teknike të regjistrimit, i cili do të jetë i disponueshëm në ambientet e Autoritetit të Konkurrencës dhe të korrigjojnë përmbajtjen e deklaratave të tyre me gojë brenda një afati të caktuar kohor. Ndërmarrjet mund të heqin dorë nga këto të drejta brenda </w:t>
      </w:r>
      <w:r w:rsidR="006B3B73" w:rsidRPr="00156DC9">
        <w:rPr>
          <w:rFonts w:ascii="Times New Roman" w:eastAsia="Times New Roman" w:hAnsi="Times New Roman" w:cs="Times New Roman"/>
          <w:sz w:val="24"/>
          <w:szCs w:val="24"/>
        </w:rPr>
        <w:t xml:space="preserve">një </w:t>
      </w:r>
      <w:r w:rsidRPr="00156DC9">
        <w:rPr>
          <w:rFonts w:ascii="Times New Roman" w:eastAsia="Times New Roman" w:hAnsi="Times New Roman" w:cs="Times New Roman"/>
          <w:sz w:val="24"/>
          <w:szCs w:val="24"/>
        </w:rPr>
        <w:t>afati kohor</w:t>
      </w:r>
      <w:r w:rsidR="006B3B73" w:rsidRPr="00156DC9">
        <w:rPr>
          <w:rFonts w:ascii="Times New Roman" w:eastAsia="Times New Roman" w:hAnsi="Times New Roman" w:cs="Times New Roman"/>
          <w:sz w:val="24"/>
          <w:szCs w:val="24"/>
        </w:rPr>
        <w:t xml:space="preserve"> që përcakton Autoriteti. Në këtë rast, regjistrimi, nga ai moment e në vijim, konsiderohet i miratuar. Pas miratimit të shprehur ose të nënkuptuar të deklaratës gojore, ose pas paraqitjes së çdo korrigjimi të saj, ndërmarrja dëgjon regjistrimet në ambientet e Autoritetit të Konkurrencës dhe verifikon saktësinë e transkriptit brenda një afati të caktuar. Mospërmbushja e këtij detyrimi të fundit mund të sjellë humbjen e çdo trajtimi favorizues sipas këtij Udhëzimi.</w:t>
      </w:r>
    </w:p>
    <w:p w14:paraId="08C1D627"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0F4157A9" w14:textId="5AC5BC3F" w:rsidR="003457C2" w:rsidRPr="00156DC9" w:rsidRDefault="006B3B73"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Aksesi</w:t>
      </w:r>
      <w:r w:rsidR="003457C2" w:rsidRPr="00156DC9">
        <w:rPr>
          <w:rFonts w:ascii="Times New Roman" w:eastAsia="Times New Roman" w:hAnsi="Times New Roman" w:cs="Times New Roman"/>
          <w:sz w:val="24"/>
          <w:szCs w:val="24"/>
        </w:rPr>
        <w:t xml:space="preserve"> në deklaratat e </w:t>
      </w:r>
      <w:r w:rsidR="000A1A75" w:rsidRPr="00156DC9">
        <w:rPr>
          <w:rFonts w:ascii="Times New Roman" w:eastAsia="Times New Roman" w:hAnsi="Times New Roman" w:cs="Times New Roman"/>
          <w:sz w:val="24"/>
          <w:szCs w:val="24"/>
        </w:rPr>
        <w:t>shoqërisë</w:t>
      </w:r>
      <w:r w:rsidR="003457C2" w:rsidRPr="00156DC9">
        <w:rPr>
          <w:rFonts w:ascii="Times New Roman" w:eastAsia="Times New Roman" w:hAnsi="Times New Roman" w:cs="Times New Roman"/>
          <w:sz w:val="24"/>
          <w:szCs w:val="24"/>
        </w:rPr>
        <w:t xml:space="preserve"> u jepet vetëm </w:t>
      </w:r>
      <w:r w:rsidRPr="00156DC9">
        <w:rPr>
          <w:rFonts w:ascii="Times New Roman" w:eastAsia="Times New Roman" w:hAnsi="Times New Roman" w:cs="Times New Roman"/>
          <w:sz w:val="24"/>
          <w:szCs w:val="24"/>
        </w:rPr>
        <w:t>të adresuarve</w:t>
      </w:r>
      <w:r w:rsidR="003457C2" w:rsidRPr="00156DC9">
        <w:rPr>
          <w:rFonts w:ascii="Times New Roman" w:eastAsia="Times New Roman" w:hAnsi="Times New Roman" w:cs="Times New Roman"/>
          <w:sz w:val="24"/>
          <w:szCs w:val="24"/>
        </w:rPr>
        <w:t xml:space="preserve"> të një </w:t>
      </w:r>
      <w:r w:rsidRPr="00156DC9">
        <w:rPr>
          <w:rFonts w:ascii="Times New Roman" w:eastAsia="Times New Roman" w:hAnsi="Times New Roman" w:cs="Times New Roman"/>
          <w:sz w:val="24"/>
          <w:szCs w:val="24"/>
        </w:rPr>
        <w:t>vendimi</w:t>
      </w:r>
      <w:r w:rsidR="003457C2" w:rsidRPr="00156DC9">
        <w:rPr>
          <w:rFonts w:ascii="Times New Roman" w:eastAsia="Times New Roman" w:hAnsi="Times New Roman" w:cs="Times New Roman"/>
          <w:sz w:val="24"/>
          <w:szCs w:val="24"/>
        </w:rPr>
        <w:t xml:space="preserve">, me kusht që ata të angazhohen, - së bashku me këshilltarët ligjorë që marrin </w:t>
      </w:r>
      <w:r w:rsidRPr="00156DC9">
        <w:rPr>
          <w:rFonts w:ascii="Times New Roman" w:eastAsia="Times New Roman" w:hAnsi="Times New Roman" w:cs="Times New Roman"/>
          <w:sz w:val="24"/>
          <w:szCs w:val="24"/>
        </w:rPr>
        <w:t>akses</w:t>
      </w:r>
      <w:r w:rsidR="003457C2" w:rsidRPr="00156DC9">
        <w:rPr>
          <w:rFonts w:ascii="Times New Roman" w:eastAsia="Times New Roman" w:hAnsi="Times New Roman" w:cs="Times New Roman"/>
          <w:sz w:val="24"/>
          <w:szCs w:val="24"/>
        </w:rPr>
        <w:t xml:space="preserve"> në emër të tyre - të mos bëjnë asnjë kopje me mjete mekanike ose elektronike të asnjë informacioni në deklaratën e </w:t>
      </w:r>
      <w:r w:rsidR="000A1A75" w:rsidRPr="00156DC9">
        <w:rPr>
          <w:rFonts w:ascii="Times New Roman" w:eastAsia="Times New Roman" w:hAnsi="Times New Roman" w:cs="Times New Roman"/>
          <w:sz w:val="24"/>
          <w:szCs w:val="24"/>
        </w:rPr>
        <w:t>shoqërisë</w:t>
      </w:r>
      <w:r w:rsidR="003457C2" w:rsidRPr="00156DC9">
        <w:rPr>
          <w:rFonts w:ascii="Times New Roman" w:eastAsia="Times New Roman" w:hAnsi="Times New Roman" w:cs="Times New Roman"/>
          <w:sz w:val="24"/>
          <w:szCs w:val="24"/>
        </w:rPr>
        <w:t xml:space="preserve"> në të cilën po jepet </w:t>
      </w:r>
      <w:r w:rsidRPr="00156DC9">
        <w:rPr>
          <w:rFonts w:ascii="Times New Roman" w:eastAsia="Times New Roman" w:hAnsi="Times New Roman" w:cs="Times New Roman"/>
          <w:sz w:val="24"/>
          <w:szCs w:val="24"/>
        </w:rPr>
        <w:t>akses</w:t>
      </w:r>
      <w:r w:rsidR="003457C2" w:rsidRPr="00156DC9">
        <w:rPr>
          <w:rFonts w:ascii="Times New Roman" w:eastAsia="Times New Roman" w:hAnsi="Times New Roman" w:cs="Times New Roman"/>
          <w:sz w:val="24"/>
          <w:szCs w:val="24"/>
        </w:rPr>
        <w:t xml:space="preserve"> dhe të sigurojnë që informacioni që do të merret nga deklarata e </w:t>
      </w:r>
      <w:r w:rsidR="000A1A75" w:rsidRPr="00156DC9">
        <w:rPr>
          <w:rFonts w:ascii="Times New Roman" w:eastAsia="Times New Roman" w:hAnsi="Times New Roman" w:cs="Times New Roman"/>
          <w:sz w:val="24"/>
          <w:szCs w:val="24"/>
        </w:rPr>
        <w:t>shoqërisë</w:t>
      </w:r>
      <w:r w:rsidR="003457C2" w:rsidRPr="00156DC9">
        <w:rPr>
          <w:rFonts w:ascii="Times New Roman" w:eastAsia="Times New Roman" w:hAnsi="Times New Roman" w:cs="Times New Roman"/>
          <w:sz w:val="24"/>
          <w:szCs w:val="24"/>
        </w:rPr>
        <w:t xml:space="preserve"> do të përdoret vetëm për qëllimet e përmendura më poshtë. Palëve të tjera, siç janë </w:t>
      </w:r>
      <w:r w:rsidR="007B1686" w:rsidRPr="00156DC9">
        <w:rPr>
          <w:rFonts w:ascii="Times New Roman" w:eastAsia="Times New Roman" w:hAnsi="Times New Roman" w:cs="Times New Roman"/>
          <w:sz w:val="24"/>
          <w:szCs w:val="24"/>
        </w:rPr>
        <w:t>ankuesit</w:t>
      </w:r>
      <w:r w:rsidR="003457C2" w:rsidRPr="00156DC9">
        <w:rPr>
          <w:rFonts w:ascii="Times New Roman" w:eastAsia="Times New Roman" w:hAnsi="Times New Roman" w:cs="Times New Roman"/>
          <w:sz w:val="24"/>
          <w:szCs w:val="24"/>
        </w:rPr>
        <w:t xml:space="preserve">, nuk do </w:t>
      </w:r>
      <w:r w:rsidR="00DF2AF5" w:rsidRPr="00156DC9">
        <w:rPr>
          <w:rFonts w:ascii="Times New Roman" w:eastAsia="Times New Roman" w:hAnsi="Times New Roman" w:cs="Times New Roman"/>
          <w:sz w:val="24"/>
          <w:szCs w:val="24"/>
        </w:rPr>
        <w:t>tu</w:t>
      </w:r>
      <w:r w:rsidR="003457C2" w:rsidRPr="00156DC9">
        <w:rPr>
          <w:rFonts w:ascii="Times New Roman" w:eastAsia="Times New Roman" w:hAnsi="Times New Roman" w:cs="Times New Roman"/>
          <w:sz w:val="24"/>
          <w:szCs w:val="24"/>
        </w:rPr>
        <w:t xml:space="preserve"> </w:t>
      </w:r>
      <w:r w:rsidRPr="00156DC9">
        <w:rPr>
          <w:rFonts w:ascii="Times New Roman" w:eastAsia="Times New Roman" w:hAnsi="Times New Roman" w:cs="Times New Roman"/>
          <w:sz w:val="24"/>
          <w:szCs w:val="24"/>
        </w:rPr>
        <w:t>jepet akses</w:t>
      </w:r>
      <w:r w:rsidR="003457C2" w:rsidRPr="00156DC9">
        <w:rPr>
          <w:rFonts w:ascii="Times New Roman" w:eastAsia="Times New Roman" w:hAnsi="Times New Roman" w:cs="Times New Roman"/>
          <w:sz w:val="24"/>
          <w:szCs w:val="24"/>
        </w:rPr>
        <w:t xml:space="preserve"> në deklaratat e </w:t>
      </w:r>
      <w:r w:rsidR="000A1A75" w:rsidRPr="00156DC9">
        <w:rPr>
          <w:rFonts w:ascii="Times New Roman" w:eastAsia="Times New Roman" w:hAnsi="Times New Roman" w:cs="Times New Roman"/>
          <w:sz w:val="24"/>
          <w:szCs w:val="24"/>
        </w:rPr>
        <w:t>shoqërisë</w:t>
      </w:r>
      <w:r w:rsidR="003457C2" w:rsidRPr="00156DC9">
        <w:rPr>
          <w:rFonts w:ascii="Times New Roman" w:eastAsia="Times New Roman" w:hAnsi="Times New Roman" w:cs="Times New Roman"/>
          <w:sz w:val="24"/>
          <w:szCs w:val="24"/>
        </w:rPr>
        <w:t xml:space="preserve">. Autoriteti i Konkurrencës konsideron se kjo mbrojtje specifike e një deklarate të </w:t>
      </w:r>
      <w:r w:rsidR="000A1A75" w:rsidRPr="00156DC9">
        <w:rPr>
          <w:rFonts w:ascii="Times New Roman" w:eastAsia="Times New Roman" w:hAnsi="Times New Roman" w:cs="Times New Roman"/>
          <w:sz w:val="24"/>
          <w:szCs w:val="24"/>
        </w:rPr>
        <w:t>shoqërisë</w:t>
      </w:r>
      <w:r w:rsidR="003457C2" w:rsidRPr="00156DC9">
        <w:rPr>
          <w:rFonts w:ascii="Times New Roman" w:eastAsia="Times New Roman" w:hAnsi="Times New Roman" w:cs="Times New Roman"/>
          <w:sz w:val="24"/>
          <w:szCs w:val="24"/>
        </w:rPr>
        <w:t xml:space="preserve"> nuk justifikohet nga momenti kur aplikanti ua zbulon palëve të treta përmbajtjen e saj.</w:t>
      </w:r>
    </w:p>
    <w:p w14:paraId="58CC986E"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14AF3775" w14:textId="77777777" w:rsidR="006F3A93" w:rsidRPr="00156DC9" w:rsidRDefault="003457C2" w:rsidP="006F3A93">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Në përputhje me Udhëzimin mbi Konfidencialitetin dhe </w:t>
      </w:r>
      <w:r w:rsidR="006B3B73" w:rsidRPr="00156DC9">
        <w:rPr>
          <w:rFonts w:ascii="Times New Roman" w:eastAsia="Times New Roman" w:hAnsi="Times New Roman" w:cs="Times New Roman"/>
          <w:sz w:val="24"/>
          <w:szCs w:val="24"/>
        </w:rPr>
        <w:t>Aksesin</w:t>
      </w:r>
      <w:r w:rsidRPr="00156DC9">
        <w:rPr>
          <w:rFonts w:ascii="Times New Roman" w:eastAsia="Times New Roman" w:hAnsi="Times New Roman" w:cs="Times New Roman"/>
          <w:sz w:val="24"/>
          <w:szCs w:val="24"/>
        </w:rPr>
        <w:t xml:space="preserve"> në Dosje, </w:t>
      </w:r>
      <w:r w:rsidR="007B1686" w:rsidRPr="00156DC9">
        <w:rPr>
          <w:rFonts w:ascii="Times New Roman" w:eastAsia="Times New Roman" w:hAnsi="Times New Roman" w:cs="Times New Roman"/>
          <w:sz w:val="24"/>
          <w:szCs w:val="24"/>
        </w:rPr>
        <w:t>aksesi</w:t>
      </w:r>
      <w:r w:rsidRPr="00156DC9">
        <w:rPr>
          <w:rFonts w:ascii="Times New Roman" w:eastAsia="Times New Roman" w:hAnsi="Times New Roman" w:cs="Times New Roman"/>
          <w:sz w:val="24"/>
          <w:szCs w:val="24"/>
        </w:rPr>
        <w:t xml:space="preserve"> në dosjen e çështjes do </w:t>
      </w:r>
      <w:r w:rsidR="00DF2AF5" w:rsidRPr="00156DC9">
        <w:rPr>
          <w:rFonts w:ascii="Times New Roman" w:eastAsia="Times New Roman" w:hAnsi="Times New Roman" w:cs="Times New Roman"/>
          <w:sz w:val="24"/>
          <w:szCs w:val="24"/>
        </w:rPr>
        <w:t>tu</w:t>
      </w:r>
      <w:r w:rsidRPr="00156DC9">
        <w:rPr>
          <w:rFonts w:ascii="Times New Roman" w:eastAsia="Times New Roman" w:hAnsi="Times New Roman" w:cs="Times New Roman"/>
          <w:sz w:val="24"/>
          <w:szCs w:val="24"/>
        </w:rPr>
        <w:t xml:space="preserve"> jepet vetëm </w:t>
      </w:r>
      <w:r w:rsidR="007B1686" w:rsidRPr="00156DC9">
        <w:rPr>
          <w:rFonts w:ascii="Times New Roman" w:eastAsia="Times New Roman" w:hAnsi="Times New Roman" w:cs="Times New Roman"/>
          <w:sz w:val="24"/>
          <w:szCs w:val="24"/>
        </w:rPr>
        <w:t>të adresuarve</w:t>
      </w:r>
      <w:r w:rsidRPr="00156DC9">
        <w:rPr>
          <w:rFonts w:ascii="Times New Roman" w:eastAsia="Times New Roman" w:hAnsi="Times New Roman" w:cs="Times New Roman"/>
          <w:sz w:val="24"/>
          <w:szCs w:val="24"/>
        </w:rPr>
        <w:t xml:space="preserve"> të një </w:t>
      </w:r>
      <w:r w:rsidR="007B1686" w:rsidRPr="00156DC9">
        <w:rPr>
          <w:rFonts w:ascii="Times New Roman" w:eastAsia="Times New Roman" w:hAnsi="Times New Roman" w:cs="Times New Roman"/>
          <w:sz w:val="24"/>
          <w:szCs w:val="24"/>
        </w:rPr>
        <w:t>vendimi</w:t>
      </w:r>
      <w:r w:rsidRPr="00156DC9">
        <w:rPr>
          <w:rFonts w:ascii="Times New Roman" w:eastAsia="Times New Roman" w:hAnsi="Times New Roman" w:cs="Times New Roman"/>
          <w:sz w:val="24"/>
          <w:szCs w:val="24"/>
        </w:rPr>
        <w:t xml:space="preserve"> me kusht që informacioni i marrë në këtë mënyrë të mund të përdoret vetëm për qëllime të procedurave administrative ose gjyqësore që lidhen me zbatimin e legjislacionit kombëtar të konkurrencës në fjalë në </w:t>
      </w:r>
      <w:r w:rsidRPr="00156DC9">
        <w:rPr>
          <w:rFonts w:ascii="Times New Roman" w:eastAsia="Times New Roman" w:hAnsi="Times New Roman" w:cs="Times New Roman"/>
          <w:sz w:val="24"/>
          <w:szCs w:val="24"/>
        </w:rPr>
        <w:lastRenderedPageBreak/>
        <w:t xml:space="preserve">procedurat administrative përkatëse. Përdorimi i një informacioni të tillë për një qëllim tjetër gjatë procedurave mund të konsiderohet si mungesë bashkëpunimi sipas kuptimit të këtij Udhëzimi. Çdo dështim gjatë procedurave për t'iu përmbajtur dispozitave përkatëse që rregullojnë përdorimin e informacionit të marrë nëpërmjet </w:t>
      </w:r>
      <w:r w:rsidR="00E70026" w:rsidRPr="00156DC9">
        <w:rPr>
          <w:rFonts w:ascii="Times New Roman" w:eastAsia="Times New Roman" w:hAnsi="Times New Roman" w:cs="Times New Roman"/>
          <w:sz w:val="24"/>
          <w:szCs w:val="24"/>
        </w:rPr>
        <w:t>aksesit</w:t>
      </w:r>
      <w:r w:rsidRPr="00156DC9">
        <w:rPr>
          <w:rFonts w:ascii="Times New Roman" w:eastAsia="Times New Roman" w:hAnsi="Times New Roman" w:cs="Times New Roman"/>
          <w:sz w:val="24"/>
          <w:szCs w:val="24"/>
        </w:rPr>
        <w:t xml:space="preserve"> në dosjen e çështjes mund të konsiderohet si mungesë bashkëpunimi sipas kuptimit të këtij Udhëzimi. Në rrethana të caktuara, një sjellje e tillë mund t'i nënshtrohet ndëshkimeve sipas legjislacionit në fuqi. </w:t>
      </w:r>
      <w:r w:rsidR="00E70026" w:rsidRPr="00156DC9">
        <w:rPr>
          <w:rFonts w:ascii="Times New Roman" w:eastAsia="Times New Roman" w:hAnsi="Times New Roman" w:cs="Times New Roman"/>
          <w:sz w:val="24"/>
          <w:szCs w:val="24"/>
        </w:rPr>
        <w:t>N</w:t>
      </w:r>
      <w:r w:rsidRPr="00156DC9">
        <w:rPr>
          <w:rFonts w:ascii="Times New Roman" w:eastAsia="Times New Roman" w:hAnsi="Times New Roman" w:cs="Times New Roman"/>
          <w:sz w:val="24"/>
          <w:szCs w:val="24"/>
        </w:rPr>
        <w:t>ëse ndonjë përdorim i tillë bëhet pasi Autoriteti i Konkurrencës ka miratuar tashmë një vendim, përveç çdo ndëshkimi të zbatueshëm sipas ligjit,</w:t>
      </w:r>
      <w:r w:rsidR="00E70026" w:rsidRPr="00156DC9">
        <w:rPr>
          <w:rFonts w:ascii="Times New Roman" w:eastAsia="Times New Roman" w:hAnsi="Times New Roman" w:cs="Times New Roman"/>
          <w:sz w:val="24"/>
          <w:szCs w:val="24"/>
        </w:rPr>
        <w:t xml:space="preserve"> Autoriteti i Konkurrencës</w:t>
      </w:r>
      <w:r w:rsidRPr="00156DC9">
        <w:rPr>
          <w:rFonts w:ascii="Times New Roman" w:eastAsia="Times New Roman" w:hAnsi="Times New Roman" w:cs="Times New Roman"/>
          <w:sz w:val="24"/>
          <w:szCs w:val="24"/>
        </w:rPr>
        <w:t xml:space="preserve"> mund të </w:t>
      </w:r>
      <w:r w:rsidR="00E70026" w:rsidRPr="00156DC9">
        <w:rPr>
          <w:rFonts w:ascii="Times New Roman" w:eastAsia="Times New Roman" w:hAnsi="Times New Roman" w:cs="Times New Roman"/>
          <w:sz w:val="24"/>
          <w:szCs w:val="24"/>
        </w:rPr>
        <w:t>ndjekë</w:t>
      </w:r>
      <w:r w:rsidRPr="00156DC9">
        <w:rPr>
          <w:rFonts w:ascii="Times New Roman" w:eastAsia="Times New Roman" w:hAnsi="Times New Roman" w:cs="Times New Roman"/>
          <w:sz w:val="24"/>
          <w:szCs w:val="24"/>
        </w:rPr>
        <w:t xml:space="preserve"> çdo mjet juridik të disponueshëm para gjykatave kompetente. Nëse ndonjë nga kufizimet e mësipërme mbi përdorimin e informacionit shkelet, në çdo moment, me përfshirjen e një këshilltari të jashtëm ligjor, Autoriteti i Konkurrencës </w:t>
      </w:r>
      <w:r w:rsidR="006F3A93" w:rsidRPr="00156DC9">
        <w:rPr>
          <w:rFonts w:ascii="Times New Roman" w:eastAsia="Times New Roman" w:hAnsi="Times New Roman" w:cs="Times New Roman"/>
          <w:sz w:val="24"/>
          <w:szCs w:val="24"/>
        </w:rPr>
        <w:t>mund ta raportojë incidentin te organi kompetent profesional që rregullon profesionin ligjor, me qëllim marrjen e masave disiplinore.</w:t>
      </w:r>
    </w:p>
    <w:p w14:paraId="3C0089FB" w14:textId="13063967" w:rsidR="003457C2" w:rsidRPr="00156DC9" w:rsidRDefault="003457C2" w:rsidP="006F3A93">
      <w:pPr>
        <w:spacing w:after="0" w:line="240" w:lineRule="auto"/>
        <w:jc w:val="both"/>
        <w:rPr>
          <w:rFonts w:ascii="Times New Roman" w:eastAsia="Times New Roman" w:hAnsi="Times New Roman" w:cs="Times New Roman"/>
          <w:sz w:val="24"/>
          <w:szCs w:val="24"/>
        </w:rPr>
      </w:pPr>
    </w:p>
    <w:p w14:paraId="7BBA29BD" w14:textId="77777777" w:rsidR="003457C2" w:rsidRPr="00156DC9" w:rsidRDefault="003457C2" w:rsidP="003457C2">
      <w:pPr>
        <w:spacing w:after="0" w:line="240" w:lineRule="auto"/>
        <w:ind w:left="540" w:hanging="540"/>
        <w:jc w:val="both"/>
        <w:rPr>
          <w:rFonts w:ascii="Times New Roman" w:eastAsia="Times New Roman" w:hAnsi="Times New Roman" w:cs="Times New Roman"/>
          <w:strike/>
          <w:sz w:val="24"/>
          <w:szCs w:val="24"/>
        </w:rPr>
      </w:pPr>
    </w:p>
    <w:p w14:paraId="2FE02369"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44BB2E6A"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r w:rsidRPr="00156DC9">
        <w:rPr>
          <w:rFonts w:ascii="Times New Roman" w:eastAsia="Times New Roman" w:hAnsi="Times New Roman" w:cs="Times New Roman"/>
          <w:b/>
          <w:bCs/>
          <w:sz w:val="24"/>
          <w:szCs w:val="24"/>
        </w:rPr>
        <w:t>V. KONSIDERATA TË PËRGJITHSHME</w:t>
      </w:r>
    </w:p>
    <w:p w14:paraId="5BF065FB" w14:textId="77777777" w:rsidR="003457C2" w:rsidRPr="00156DC9" w:rsidRDefault="003457C2" w:rsidP="003457C2">
      <w:pPr>
        <w:spacing w:after="0" w:line="240" w:lineRule="auto"/>
        <w:ind w:left="540" w:hanging="540"/>
        <w:jc w:val="both"/>
        <w:rPr>
          <w:rFonts w:ascii="Times New Roman" w:eastAsia="Times New Roman" w:hAnsi="Times New Roman" w:cs="Times New Roman"/>
          <w:b/>
          <w:bCs/>
          <w:sz w:val="24"/>
          <w:szCs w:val="24"/>
        </w:rPr>
      </w:pPr>
    </w:p>
    <w:p w14:paraId="30854758" w14:textId="77777777"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Autoriteti i Konkurrencës nuk do të mbajë qëndrim nëse do të japë apo jo imunitet me kusht, ose nëse do të shpërblejë apo jo ndonjë aplikim, nëse bëhet e qartë se aplikimi ka të bëjë me shkelje të mbuluara nga periudha pesëvjeçare e parashkrimit për vendosjen e gjobave të përcaktuara në nenin 78(2) të </w:t>
      </w:r>
      <w:r w:rsidRPr="00156DC9">
        <w:rPr>
          <w:rFonts w:ascii="Times New Roman" w:hAnsi="Times New Roman" w:cs="Times New Roman"/>
          <w:sz w:val="24"/>
          <w:szCs w:val="24"/>
        </w:rPr>
        <w:t xml:space="preserve">Ligjit Nr. 9121, datë 28.07.2003 "Për Mbrojtjen e Konkurrencës" </w:t>
      </w:r>
      <w:r w:rsidRPr="00156DC9">
        <w:rPr>
          <w:rFonts w:ascii="Times New Roman" w:eastAsia="Times New Roman" w:hAnsi="Times New Roman" w:cs="Times New Roman"/>
          <w:sz w:val="24"/>
          <w:szCs w:val="24"/>
        </w:rPr>
        <w:t>, pasi aplikime të tilla do të ishin të paqëllimshme.</w:t>
      </w:r>
    </w:p>
    <w:p w14:paraId="040EC9CC"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46604DE2" w14:textId="5B2679DF" w:rsidR="003457C2" w:rsidRPr="00156DC9" w:rsidRDefault="003457C2" w:rsidP="009D79C4">
      <w:pPr>
        <w:pStyle w:val="ListParagraph"/>
        <w:numPr>
          <w:ilvl w:val="2"/>
          <w:numId w:val="1"/>
        </w:numPr>
        <w:spacing w:after="0" w:line="240" w:lineRule="auto"/>
        <w:ind w:left="630" w:firstLine="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Në përputhje me dispozitat që rregullojnë mbrojtjen e materialeve të lehtësimit nga gjoba dhe bashkëpunimin midis Autoritetit të Konkurrencës dhe gjykatave kompetente, Autoriteti i Konkurrencës nuk do të transmetojë në asnjë kohë deklaratat e </w:t>
      </w:r>
      <w:r w:rsidR="000A1A75" w:rsidRPr="00156DC9">
        <w:rPr>
          <w:rFonts w:ascii="Times New Roman" w:eastAsia="Times New Roman" w:hAnsi="Times New Roman" w:cs="Times New Roman"/>
          <w:sz w:val="24"/>
          <w:szCs w:val="24"/>
        </w:rPr>
        <w:t>shoqëri</w:t>
      </w:r>
      <w:r w:rsidRPr="00156DC9">
        <w:rPr>
          <w:rFonts w:ascii="Times New Roman" w:eastAsia="Times New Roman" w:hAnsi="Times New Roman" w:cs="Times New Roman"/>
          <w:sz w:val="24"/>
          <w:szCs w:val="24"/>
        </w:rPr>
        <w:t>ve të paraqitura sipas këtij Udhëzimi në gjykatat kompetente për përdorim në padi për dëmshpërblim që rrjedhin nga shkeljet e legjislacionit kombëtar të konkurrencës. Ky paragraf nuk c</w:t>
      </w:r>
      <w:r w:rsidR="00955825" w:rsidRPr="00156DC9">
        <w:rPr>
          <w:rFonts w:ascii="Times New Roman" w:eastAsia="Times New Roman" w:hAnsi="Times New Roman" w:cs="Times New Roman"/>
          <w:sz w:val="24"/>
          <w:szCs w:val="24"/>
        </w:rPr>
        <w:t>ë</w:t>
      </w:r>
      <w:r w:rsidRPr="00156DC9">
        <w:rPr>
          <w:rFonts w:ascii="Times New Roman" w:eastAsia="Times New Roman" w:hAnsi="Times New Roman" w:cs="Times New Roman"/>
          <w:sz w:val="24"/>
          <w:szCs w:val="24"/>
        </w:rPr>
        <w:t>non asnjë zbulim ose përdorim të deklaratave të tilla aty ku parashikohet shprehimisht nga legjislacioni në fuqi.</w:t>
      </w:r>
    </w:p>
    <w:p w14:paraId="7798A878"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0313A988" w14:textId="42210D76"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Ky Udhëzim shfuqizon Udhëzimin e mëparshëm mbi imunitetin nga gjobat dhe uljen e gjobave në rastet e karteleve.</w:t>
      </w:r>
    </w:p>
    <w:p w14:paraId="090E32B9" w14:textId="77777777" w:rsidR="007A4F7D" w:rsidRPr="00156DC9" w:rsidRDefault="007A4F7D" w:rsidP="007A4F7D">
      <w:pPr>
        <w:spacing w:after="0" w:line="240" w:lineRule="auto"/>
        <w:jc w:val="both"/>
        <w:rPr>
          <w:rFonts w:ascii="Times New Roman" w:eastAsia="Times New Roman" w:hAnsi="Times New Roman" w:cs="Times New Roman"/>
          <w:sz w:val="24"/>
          <w:szCs w:val="24"/>
        </w:rPr>
      </w:pPr>
    </w:p>
    <w:p w14:paraId="245B7144" w14:textId="3DCB7A80"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Autoriteti i Konkurrencës është i vetëdijshëm se ky Udhëzim do të krijojë prit</w:t>
      </w:r>
      <w:r w:rsidR="006C10F8" w:rsidRPr="00156DC9">
        <w:rPr>
          <w:rFonts w:ascii="Times New Roman" w:eastAsia="Times New Roman" w:hAnsi="Times New Roman" w:cs="Times New Roman"/>
          <w:sz w:val="24"/>
          <w:szCs w:val="24"/>
        </w:rPr>
        <w:t>shmëri</w:t>
      </w:r>
      <w:r w:rsidRPr="00156DC9">
        <w:rPr>
          <w:rFonts w:ascii="Times New Roman" w:eastAsia="Times New Roman" w:hAnsi="Times New Roman" w:cs="Times New Roman"/>
          <w:sz w:val="24"/>
          <w:szCs w:val="24"/>
        </w:rPr>
        <w:t xml:space="preserve"> legjitime mbi të cilat ndërmarrjet mund të mbështeten kur i zbulojnë Autoritetit të Konkurrencës ekzistencën e një karteli.</w:t>
      </w:r>
    </w:p>
    <w:p w14:paraId="631513A5"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A9F9EE6" w14:textId="3D9551DD" w:rsidR="003457C2" w:rsidRPr="00156DC9" w:rsidRDefault="003457C2" w:rsidP="003457C2">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156DC9">
        <w:rPr>
          <w:rFonts w:ascii="Times New Roman" w:eastAsia="Times New Roman" w:hAnsi="Times New Roman" w:cs="Times New Roman"/>
          <w:sz w:val="24"/>
          <w:szCs w:val="24"/>
        </w:rPr>
        <w:t xml:space="preserve">Në përputhje me praktikën e Autoritetit të Konkurrencës, fakti që një ndërmarrje ka bashkëpunuar me Autoritetin e Konkurrencës gjatë procedurës së tij administrative do të tregohet në çdo vendim, në mënyrë që të shpjegohet arsyeja për imunitetin ose uljen e gjobës. Fakti që jepet imunitet ose ulje në lidhje me gjobat nuk mund ta mbrojë një ndërmarrje nga pasojat e civile të pjesëmarrjes së saj në një shkelje të </w:t>
      </w:r>
      <w:r w:rsidRPr="00156DC9">
        <w:rPr>
          <w:rFonts w:ascii="Times New Roman" w:hAnsi="Times New Roman" w:cs="Times New Roman"/>
          <w:sz w:val="24"/>
          <w:szCs w:val="24"/>
        </w:rPr>
        <w:t>Ligjit të Konkurrencës</w:t>
      </w:r>
      <w:r w:rsidRPr="00156DC9">
        <w:rPr>
          <w:rFonts w:ascii="Times New Roman" w:eastAsia="Times New Roman" w:hAnsi="Times New Roman" w:cs="Times New Roman"/>
          <w:sz w:val="24"/>
          <w:szCs w:val="24"/>
        </w:rPr>
        <w:t>.</w:t>
      </w:r>
    </w:p>
    <w:p w14:paraId="189F9DFF" w14:textId="77777777" w:rsidR="003457C2" w:rsidRPr="00156DC9" w:rsidRDefault="003457C2" w:rsidP="003457C2">
      <w:pPr>
        <w:spacing w:after="0" w:line="240" w:lineRule="auto"/>
        <w:ind w:left="540" w:hanging="540"/>
        <w:jc w:val="both"/>
        <w:rPr>
          <w:rFonts w:ascii="Times New Roman" w:eastAsia="Times New Roman" w:hAnsi="Times New Roman" w:cs="Times New Roman"/>
          <w:sz w:val="24"/>
          <w:szCs w:val="24"/>
        </w:rPr>
      </w:pPr>
    </w:p>
    <w:p w14:paraId="3E7CFB35" w14:textId="77777777" w:rsidR="003457C2" w:rsidRPr="005125AE" w:rsidRDefault="003457C2" w:rsidP="003457C2">
      <w:pPr>
        <w:pStyle w:val="ListParagraph"/>
        <w:numPr>
          <w:ilvl w:val="0"/>
          <w:numId w:val="1"/>
        </w:numPr>
        <w:spacing w:after="0" w:line="240" w:lineRule="auto"/>
        <w:ind w:left="540" w:hanging="540"/>
        <w:jc w:val="both"/>
        <w:rPr>
          <w:rFonts w:ascii="Times New Roman" w:hAnsi="Times New Roman" w:cs="Times New Roman"/>
          <w:sz w:val="24"/>
          <w:szCs w:val="24"/>
        </w:rPr>
      </w:pPr>
      <w:r w:rsidRPr="00156DC9">
        <w:rPr>
          <w:rFonts w:ascii="Times New Roman" w:eastAsia="Times New Roman" w:hAnsi="Times New Roman" w:cs="Times New Roman"/>
          <w:sz w:val="24"/>
          <w:szCs w:val="24"/>
        </w:rPr>
        <w:lastRenderedPageBreak/>
        <w:t>Autoriteti i Konkurrencës konsideron se zakonisht zbulimi publik i dokumenteve dhe deklaratave të shkruara ose të regjistruara të marra në kontekstin e këtij Udhëzimi do të dëmtonte interesa të caktuara publike ose private, për shembull mbrojtjen e qëllimit të inspektimeve dhe hetimeve, edhe pasi të jetë marrë vendimi.</w:t>
      </w:r>
    </w:p>
    <w:p w14:paraId="26678936" w14:textId="77777777" w:rsidR="005125AE" w:rsidRPr="005125AE" w:rsidRDefault="005125AE" w:rsidP="005125AE">
      <w:pPr>
        <w:pStyle w:val="ListParagraph"/>
        <w:rPr>
          <w:rFonts w:ascii="Times New Roman" w:hAnsi="Times New Roman" w:cs="Times New Roman"/>
          <w:sz w:val="24"/>
          <w:szCs w:val="24"/>
        </w:rPr>
      </w:pPr>
    </w:p>
    <w:p w14:paraId="71DFC0AE" w14:textId="77777777" w:rsidR="005125AE" w:rsidRPr="005125AE" w:rsidRDefault="005125AE" w:rsidP="005125AE">
      <w:pPr>
        <w:pStyle w:val="ListParagraph"/>
        <w:numPr>
          <w:ilvl w:val="0"/>
          <w:numId w:val="1"/>
        </w:numPr>
        <w:spacing w:after="0" w:line="240" w:lineRule="auto"/>
        <w:ind w:left="540" w:hanging="540"/>
        <w:jc w:val="both"/>
        <w:rPr>
          <w:rFonts w:ascii="Times New Roman" w:eastAsia="Times New Roman" w:hAnsi="Times New Roman" w:cs="Times New Roman"/>
          <w:sz w:val="24"/>
          <w:szCs w:val="24"/>
        </w:rPr>
      </w:pPr>
      <w:r w:rsidRPr="005125AE">
        <w:rPr>
          <w:rFonts w:ascii="Times New Roman" w:eastAsia="Times New Roman" w:hAnsi="Times New Roman" w:cs="Times New Roman"/>
          <w:sz w:val="24"/>
          <w:szCs w:val="24"/>
        </w:rPr>
        <w:t>Dispozitat e këtij Udhëzimi që parashikojnë mekanizma bashkëpunimi ose koordinimi me institucionet e Bashkimit Evropian, Rrjetin Evropian të Konkurrencës (ECN) ose autoritetet e konkurrencës së shteteve anëtare, interpretohen dhe zbatohen në përputhje me marrëveshjet ndërkombëtare, legjislacionin kombëtar në fuqi dhe statusin e Republikës së Shqipërisë në procesin e integrimit evropian. Çdo dispozitë që presupozon të drejta ose detyrime që burojnë nga cilësia e shtetit anëtar të Bashkimit Evropian do të zbatohet pas aderimit të Republikës së Shqipërisë në Bashkimin Evropian.</w:t>
      </w:r>
    </w:p>
    <w:p w14:paraId="739B4308" w14:textId="77777777" w:rsidR="005125AE" w:rsidRPr="00156DC9" w:rsidRDefault="005125AE" w:rsidP="005125AE">
      <w:pPr>
        <w:pStyle w:val="ListParagraph"/>
        <w:spacing w:after="0" w:line="240" w:lineRule="auto"/>
        <w:ind w:left="540"/>
        <w:jc w:val="both"/>
        <w:rPr>
          <w:rFonts w:ascii="Times New Roman" w:hAnsi="Times New Roman" w:cs="Times New Roman"/>
          <w:sz w:val="24"/>
          <w:szCs w:val="24"/>
        </w:rPr>
      </w:pPr>
    </w:p>
    <w:p w14:paraId="06C26F9F" w14:textId="12A5D1CC" w:rsidR="003457C2" w:rsidRPr="00156DC9" w:rsidRDefault="00F316B8">
      <w:pPr>
        <w:rPr>
          <w:rFonts w:ascii="Times New Roman" w:hAnsi="Times New Roman" w:cs="Times New Roman"/>
          <w:sz w:val="24"/>
          <w:szCs w:val="24"/>
        </w:rPr>
      </w:pPr>
      <w:r w:rsidRPr="00156DC9">
        <w:rPr>
          <w:rFonts w:ascii="Times New Roman" w:hAnsi="Times New Roman" w:cs="Times New Roman"/>
          <w:sz w:val="24"/>
          <w:szCs w:val="24"/>
        </w:rPr>
        <w:t xml:space="preserve"> </w:t>
      </w:r>
    </w:p>
    <w:p w14:paraId="7E6E34AE" w14:textId="64E7F28A" w:rsidR="009B6FC8" w:rsidRDefault="009B6FC8">
      <w:pPr>
        <w:rPr>
          <w:rFonts w:ascii="Times New Roman" w:hAnsi="Times New Roman" w:cs="Times New Roman"/>
          <w:sz w:val="24"/>
          <w:szCs w:val="24"/>
        </w:rPr>
      </w:pPr>
    </w:p>
    <w:p w14:paraId="1DA8FAAF" w14:textId="77777777" w:rsidR="0015000D" w:rsidRDefault="0015000D">
      <w:pPr>
        <w:rPr>
          <w:rFonts w:ascii="Times New Roman" w:hAnsi="Times New Roman" w:cs="Times New Roman"/>
          <w:sz w:val="24"/>
          <w:szCs w:val="24"/>
        </w:rPr>
      </w:pPr>
    </w:p>
    <w:p w14:paraId="6D122DF9" w14:textId="77777777" w:rsidR="0015000D" w:rsidRDefault="0015000D">
      <w:pPr>
        <w:rPr>
          <w:rFonts w:ascii="Times New Roman" w:hAnsi="Times New Roman" w:cs="Times New Roman"/>
          <w:sz w:val="24"/>
          <w:szCs w:val="24"/>
        </w:rPr>
      </w:pPr>
    </w:p>
    <w:p w14:paraId="53FA3085" w14:textId="77777777" w:rsidR="0015000D" w:rsidRDefault="0015000D">
      <w:pPr>
        <w:rPr>
          <w:rFonts w:ascii="Times New Roman" w:hAnsi="Times New Roman" w:cs="Times New Roman"/>
          <w:sz w:val="24"/>
          <w:szCs w:val="24"/>
        </w:rPr>
      </w:pPr>
    </w:p>
    <w:p w14:paraId="07512048" w14:textId="77777777" w:rsidR="0015000D" w:rsidRDefault="0015000D">
      <w:pPr>
        <w:rPr>
          <w:rFonts w:ascii="Times New Roman" w:hAnsi="Times New Roman" w:cs="Times New Roman"/>
          <w:sz w:val="24"/>
          <w:szCs w:val="24"/>
        </w:rPr>
      </w:pPr>
    </w:p>
    <w:p w14:paraId="268D83D9" w14:textId="77777777" w:rsidR="0015000D" w:rsidRDefault="0015000D">
      <w:pPr>
        <w:rPr>
          <w:rFonts w:ascii="Times New Roman" w:hAnsi="Times New Roman" w:cs="Times New Roman"/>
          <w:sz w:val="24"/>
          <w:szCs w:val="24"/>
        </w:rPr>
      </w:pPr>
    </w:p>
    <w:p w14:paraId="20713211" w14:textId="77777777" w:rsidR="0015000D" w:rsidRDefault="0015000D">
      <w:pPr>
        <w:rPr>
          <w:rFonts w:ascii="Times New Roman" w:hAnsi="Times New Roman" w:cs="Times New Roman"/>
          <w:sz w:val="24"/>
          <w:szCs w:val="24"/>
        </w:rPr>
      </w:pPr>
    </w:p>
    <w:p w14:paraId="1DDD6126" w14:textId="77777777" w:rsidR="0015000D" w:rsidRDefault="0015000D">
      <w:pPr>
        <w:rPr>
          <w:rFonts w:ascii="Times New Roman" w:hAnsi="Times New Roman" w:cs="Times New Roman"/>
          <w:sz w:val="24"/>
          <w:szCs w:val="24"/>
        </w:rPr>
      </w:pPr>
    </w:p>
    <w:p w14:paraId="5D0ADFB9" w14:textId="77777777" w:rsidR="0015000D" w:rsidRDefault="0015000D">
      <w:pPr>
        <w:rPr>
          <w:rFonts w:ascii="Times New Roman" w:hAnsi="Times New Roman" w:cs="Times New Roman"/>
          <w:sz w:val="24"/>
          <w:szCs w:val="24"/>
        </w:rPr>
      </w:pPr>
    </w:p>
    <w:p w14:paraId="1A28347E" w14:textId="77777777" w:rsidR="0015000D" w:rsidRDefault="0015000D">
      <w:pPr>
        <w:rPr>
          <w:rFonts w:ascii="Times New Roman" w:hAnsi="Times New Roman" w:cs="Times New Roman"/>
          <w:sz w:val="24"/>
          <w:szCs w:val="24"/>
        </w:rPr>
      </w:pPr>
    </w:p>
    <w:p w14:paraId="29BF6A7A" w14:textId="77777777" w:rsidR="0015000D" w:rsidRDefault="0015000D">
      <w:pPr>
        <w:rPr>
          <w:rFonts w:ascii="Times New Roman" w:hAnsi="Times New Roman" w:cs="Times New Roman"/>
          <w:sz w:val="24"/>
          <w:szCs w:val="24"/>
        </w:rPr>
      </w:pPr>
    </w:p>
    <w:p w14:paraId="11451AE6" w14:textId="77777777" w:rsidR="0015000D" w:rsidRDefault="0015000D">
      <w:pPr>
        <w:rPr>
          <w:rFonts w:ascii="Times New Roman" w:hAnsi="Times New Roman" w:cs="Times New Roman"/>
          <w:sz w:val="24"/>
          <w:szCs w:val="24"/>
        </w:rPr>
      </w:pPr>
    </w:p>
    <w:p w14:paraId="598ABE17" w14:textId="77777777" w:rsidR="0015000D" w:rsidRDefault="0015000D">
      <w:pPr>
        <w:rPr>
          <w:rFonts w:ascii="Times New Roman" w:hAnsi="Times New Roman" w:cs="Times New Roman"/>
          <w:sz w:val="24"/>
          <w:szCs w:val="24"/>
        </w:rPr>
      </w:pPr>
    </w:p>
    <w:p w14:paraId="48BF0000" w14:textId="77777777" w:rsidR="0015000D" w:rsidRDefault="0015000D">
      <w:pPr>
        <w:rPr>
          <w:rFonts w:ascii="Times New Roman" w:hAnsi="Times New Roman" w:cs="Times New Roman"/>
          <w:sz w:val="24"/>
          <w:szCs w:val="24"/>
        </w:rPr>
      </w:pPr>
    </w:p>
    <w:p w14:paraId="7B611A0B" w14:textId="77777777" w:rsidR="0015000D" w:rsidRDefault="0015000D">
      <w:pPr>
        <w:rPr>
          <w:rFonts w:ascii="Times New Roman" w:hAnsi="Times New Roman" w:cs="Times New Roman"/>
          <w:sz w:val="24"/>
          <w:szCs w:val="24"/>
        </w:rPr>
      </w:pPr>
    </w:p>
    <w:p w14:paraId="63ED79E8" w14:textId="77777777" w:rsidR="0015000D" w:rsidRDefault="0015000D">
      <w:pPr>
        <w:rPr>
          <w:rFonts w:ascii="Times New Roman" w:hAnsi="Times New Roman" w:cs="Times New Roman"/>
          <w:sz w:val="24"/>
          <w:szCs w:val="24"/>
        </w:rPr>
      </w:pPr>
    </w:p>
    <w:p w14:paraId="65C72D81" w14:textId="77777777" w:rsidR="0015000D" w:rsidRDefault="0015000D">
      <w:pPr>
        <w:rPr>
          <w:rFonts w:ascii="Times New Roman" w:hAnsi="Times New Roman" w:cs="Times New Roman"/>
          <w:sz w:val="24"/>
          <w:szCs w:val="24"/>
        </w:rPr>
      </w:pPr>
    </w:p>
    <w:p w14:paraId="2D3EBDB7" w14:textId="77777777" w:rsidR="0015000D" w:rsidRDefault="0015000D">
      <w:pPr>
        <w:rPr>
          <w:rFonts w:ascii="Times New Roman" w:hAnsi="Times New Roman" w:cs="Times New Roman"/>
          <w:sz w:val="24"/>
          <w:szCs w:val="24"/>
        </w:rPr>
      </w:pPr>
    </w:p>
    <w:p w14:paraId="7BE5B049" w14:textId="77777777" w:rsidR="0015000D" w:rsidRDefault="0015000D">
      <w:pPr>
        <w:rPr>
          <w:rFonts w:ascii="Times New Roman" w:hAnsi="Times New Roman" w:cs="Times New Roman"/>
          <w:sz w:val="24"/>
          <w:szCs w:val="24"/>
        </w:rPr>
      </w:pPr>
    </w:p>
    <w:p w14:paraId="728A5745" w14:textId="55C4751C" w:rsidR="009B6FC8" w:rsidRPr="00156DC9" w:rsidRDefault="00B867CE" w:rsidP="009B6FC8">
      <w:pPr>
        <w:jc w:val="center"/>
        <w:rPr>
          <w:rFonts w:ascii="Times New Roman" w:hAnsi="Times New Roman" w:cs="Times New Roman"/>
          <w:sz w:val="24"/>
          <w:szCs w:val="24"/>
        </w:rPr>
      </w:pPr>
      <w:r w:rsidRPr="00156DC9">
        <w:rPr>
          <w:rFonts w:ascii="Times New Roman" w:hAnsi="Times New Roman" w:cs="Times New Roman"/>
          <w:sz w:val="24"/>
          <w:szCs w:val="24"/>
        </w:rPr>
        <w:lastRenderedPageBreak/>
        <w:t>SHTOJCA</w:t>
      </w:r>
      <w:r w:rsidR="009B6FC8" w:rsidRPr="00156DC9">
        <w:rPr>
          <w:rFonts w:ascii="Times New Roman" w:hAnsi="Times New Roman" w:cs="Times New Roman"/>
          <w:sz w:val="24"/>
          <w:szCs w:val="24"/>
        </w:rPr>
        <w:t xml:space="preserve"> 1</w:t>
      </w:r>
    </w:p>
    <w:p w14:paraId="3E35E1F7" w14:textId="6CCDA403" w:rsidR="009B6FC8" w:rsidRPr="00156DC9" w:rsidRDefault="009B6FC8" w:rsidP="009B6FC8">
      <w:pPr>
        <w:jc w:val="center"/>
        <w:rPr>
          <w:rFonts w:ascii="Times New Roman" w:eastAsia="Times New Roman" w:hAnsi="Times New Roman" w:cs="Times New Roman"/>
          <w:sz w:val="24"/>
          <w:szCs w:val="24"/>
        </w:rPr>
      </w:pPr>
      <w:r w:rsidRPr="00156DC9">
        <w:rPr>
          <w:rFonts w:ascii="Times New Roman" w:hAnsi="Times New Roman" w:cs="Times New Roman"/>
          <w:sz w:val="24"/>
          <w:szCs w:val="24"/>
        </w:rPr>
        <w:t>“Aplikimi i P</w:t>
      </w:r>
      <w:r w:rsidRPr="00156DC9">
        <w:rPr>
          <w:rFonts w:ascii="Times New Roman" w:eastAsia="Times New Roman" w:hAnsi="Times New Roman" w:cs="Times New Roman"/>
          <w:sz w:val="24"/>
          <w:szCs w:val="24"/>
        </w:rPr>
        <w:t>ërmbledhur”</w:t>
      </w:r>
    </w:p>
    <w:p w14:paraId="158A847B" w14:textId="77777777" w:rsidR="00B867CE" w:rsidRPr="00156DC9" w:rsidRDefault="00B867CE" w:rsidP="00B867CE">
      <w:pPr>
        <w:jc w:val="center"/>
        <w:rPr>
          <w:rFonts w:ascii="Times New Roman" w:hAnsi="Times New Roman" w:cs="Times New Roman"/>
          <w:sz w:val="24"/>
          <w:szCs w:val="24"/>
        </w:rPr>
      </w:pPr>
    </w:p>
    <w:p w14:paraId="7E090DC4" w14:textId="77777777"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1. Informacion rreth Ndërmarrjes Aplikuese (emri, adresa)</w:t>
      </w:r>
    </w:p>
    <w:p w14:paraId="3C62030D" w14:textId="77777777"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(nëse aplikimi dorëzohet në emër të subjekteve të ndryshme ligjore të të njëjtit grup kompanish, ju lutemi renditini ato sipas rendit alfabetik):</w:t>
      </w:r>
    </w:p>
    <w:p w14:paraId="7AAE7932" w14:textId="77777777"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 xml:space="preserve">…………………………………………………………………………………… ……………………………………………………………………………………………………………………………… </w:t>
      </w:r>
    </w:p>
    <w:p w14:paraId="24185B6F" w14:textId="3678FAB9"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Përfaqësues i ndërmarrjes: …… ...</w:t>
      </w:r>
    </w:p>
    <w:p w14:paraId="5A374F2A" w14:textId="77777777" w:rsidR="00B867CE" w:rsidRPr="00156DC9" w:rsidRDefault="00B867CE" w:rsidP="00C6320B">
      <w:pPr>
        <w:jc w:val="both"/>
        <w:rPr>
          <w:rFonts w:ascii="Times New Roman" w:hAnsi="Times New Roman" w:cs="Times New Roman"/>
          <w:sz w:val="24"/>
          <w:szCs w:val="24"/>
        </w:rPr>
      </w:pPr>
    </w:p>
    <w:p w14:paraId="134A8A2A" w14:textId="77777777"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 xml:space="preserve">2. Informacion në lidhje me shkeljen e pretenduar. </w:t>
      </w:r>
    </w:p>
    <w:p w14:paraId="670BD3E1" w14:textId="77777777" w:rsidR="00B867CE" w:rsidRPr="00156DC9" w:rsidRDefault="00B867CE" w:rsidP="00C6320B">
      <w:pPr>
        <w:jc w:val="both"/>
        <w:rPr>
          <w:rFonts w:ascii="Times New Roman" w:hAnsi="Times New Roman" w:cs="Times New Roman"/>
          <w:sz w:val="24"/>
          <w:szCs w:val="24"/>
        </w:rPr>
      </w:pPr>
    </w:p>
    <w:p w14:paraId="0AC4EFD9" w14:textId="7D5B6685"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Pjesëmarrësit:…… ...</w:t>
      </w:r>
    </w:p>
    <w:p w14:paraId="5DF68431" w14:textId="745BB5D3"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Produkti/produktet përkatëse (sa më specifikë të jetë e mundur): …… ...</w:t>
      </w:r>
    </w:p>
    <w:p w14:paraId="553A4329" w14:textId="77777777" w:rsidR="00B867CE" w:rsidRPr="00D850FA" w:rsidRDefault="00B867CE" w:rsidP="00C6320B">
      <w:pPr>
        <w:jc w:val="both"/>
        <w:rPr>
          <w:rFonts w:ascii="Times New Roman" w:hAnsi="Times New Roman" w:cs="Times New Roman"/>
          <w:color w:val="000000" w:themeColor="text1"/>
          <w:sz w:val="24"/>
          <w:szCs w:val="24"/>
        </w:rPr>
      </w:pPr>
      <w:r w:rsidRPr="00D850FA">
        <w:rPr>
          <w:rFonts w:ascii="Times New Roman" w:hAnsi="Times New Roman" w:cs="Times New Roman"/>
          <w:color w:val="000000" w:themeColor="text1"/>
          <w:sz w:val="24"/>
          <w:szCs w:val="24"/>
        </w:rPr>
        <w:t>Territoret e prekura: …… ...</w:t>
      </w:r>
    </w:p>
    <w:p w14:paraId="30012790" w14:textId="78242F16"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Vendndodhja e provave: …… ...</w:t>
      </w:r>
    </w:p>
    <w:p w14:paraId="33FD7CF9" w14:textId="688FF738"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Përshkrim i shkurtër i shkeljes së pretenduar: ……………………………………………………………………………………………………………..… ...</w:t>
      </w:r>
    </w:p>
    <w:p w14:paraId="6939B21D" w14:textId="4E9E364C"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Periudha e shkeljes së pretenduar: ……...</w:t>
      </w:r>
    </w:p>
    <w:p w14:paraId="085C7CEA" w14:textId="2A63B833"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Informacione të tjera të dobishme: ……………………………………...… ...</w:t>
      </w:r>
    </w:p>
    <w:p w14:paraId="5F30C910" w14:textId="77777777" w:rsidR="00B867CE" w:rsidRPr="00156DC9" w:rsidRDefault="00B867CE" w:rsidP="00C6320B">
      <w:pPr>
        <w:jc w:val="both"/>
        <w:rPr>
          <w:rFonts w:ascii="Times New Roman" w:hAnsi="Times New Roman" w:cs="Times New Roman"/>
          <w:sz w:val="24"/>
          <w:szCs w:val="24"/>
        </w:rPr>
      </w:pPr>
    </w:p>
    <w:p w14:paraId="575BD998" w14:textId="77777777" w:rsidR="00D850FA" w:rsidRPr="00052577" w:rsidRDefault="00D850FA" w:rsidP="00D850FA">
      <w:pPr>
        <w:jc w:val="both"/>
        <w:rPr>
          <w:rFonts w:ascii="Times New Roman" w:hAnsi="Times New Roman" w:cs="Times New Roman"/>
          <w:color w:val="000000" w:themeColor="text1"/>
          <w:sz w:val="24"/>
          <w:szCs w:val="24"/>
          <w:lang w:val="en-US"/>
        </w:rPr>
      </w:pPr>
      <w:r w:rsidRPr="00052577">
        <w:rPr>
          <w:rFonts w:ascii="Times New Roman" w:hAnsi="Times New Roman" w:cs="Times New Roman"/>
          <w:color w:val="000000" w:themeColor="text1"/>
          <w:sz w:val="24"/>
          <w:szCs w:val="24"/>
          <w:lang w:val="en-US"/>
        </w:rPr>
        <w:t>3. Informacion në lidhje me kërkesat paralele për imunitet ose lehtësim nga gjoba</w:t>
      </w:r>
    </w:p>
    <w:p w14:paraId="79B79347" w14:textId="77777777" w:rsidR="00D850FA" w:rsidRPr="00052577" w:rsidRDefault="00D850FA" w:rsidP="00D850FA">
      <w:pPr>
        <w:jc w:val="both"/>
        <w:rPr>
          <w:rFonts w:ascii="Times New Roman" w:hAnsi="Times New Roman" w:cs="Times New Roman"/>
          <w:color w:val="000000" w:themeColor="text1"/>
          <w:sz w:val="24"/>
          <w:szCs w:val="24"/>
          <w:lang w:val="en-US"/>
        </w:rPr>
      </w:pPr>
      <w:r w:rsidRPr="00052577">
        <w:rPr>
          <w:rFonts w:ascii="Times New Roman" w:hAnsi="Times New Roman" w:cs="Times New Roman"/>
          <w:color w:val="000000" w:themeColor="text1"/>
          <w:sz w:val="24"/>
          <w:szCs w:val="24"/>
          <w:lang w:val="en-US"/>
        </w:rPr>
        <w:t>Data e dorëzimit të kërkesës pranë autoritetit tjetër të konkurrencës (nëse nuk është dorëzuar ende, data e parashikuar):</w:t>
      </w:r>
      <w:r w:rsidRPr="00052577">
        <w:rPr>
          <w:rFonts w:ascii="Times New Roman" w:hAnsi="Times New Roman" w:cs="Times New Roman"/>
          <w:color w:val="000000" w:themeColor="text1"/>
          <w:sz w:val="24"/>
          <w:szCs w:val="24"/>
          <w:lang w:val="en-US"/>
        </w:rPr>
        <w:br/>
        <w:t>……………………………………………………………………</w:t>
      </w:r>
    </w:p>
    <w:p w14:paraId="1299FCB0" w14:textId="77777777" w:rsidR="00D850FA" w:rsidRPr="00052577" w:rsidRDefault="00D850FA" w:rsidP="00D850FA">
      <w:pPr>
        <w:jc w:val="both"/>
        <w:rPr>
          <w:rFonts w:ascii="Times New Roman" w:hAnsi="Times New Roman" w:cs="Times New Roman"/>
          <w:color w:val="000000" w:themeColor="text1"/>
          <w:sz w:val="24"/>
          <w:szCs w:val="24"/>
          <w:lang w:val="en-US"/>
        </w:rPr>
      </w:pPr>
      <w:r w:rsidRPr="00052577">
        <w:rPr>
          <w:rFonts w:ascii="Times New Roman" w:hAnsi="Times New Roman" w:cs="Times New Roman"/>
          <w:color w:val="000000" w:themeColor="text1"/>
          <w:sz w:val="24"/>
          <w:szCs w:val="24"/>
          <w:lang w:val="en-US"/>
        </w:rPr>
        <w:t>Emri i autoritetit të konkurrencës pranë të cilit është dorëzuar ose pritet të dorëzohet kërkesa:</w:t>
      </w:r>
      <w:r w:rsidRPr="00052577">
        <w:rPr>
          <w:rFonts w:ascii="Times New Roman" w:hAnsi="Times New Roman" w:cs="Times New Roman"/>
          <w:color w:val="000000" w:themeColor="text1"/>
          <w:sz w:val="24"/>
          <w:szCs w:val="24"/>
          <w:lang w:val="en-US"/>
        </w:rPr>
        <w:br/>
        <w:t>……………………………………………………………………</w:t>
      </w:r>
    </w:p>
    <w:p w14:paraId="387FA303" w14:textId="77777777" w:rsidR="00D850FA" w:rsidRPr="00052577" w:rsidRDefault="00D850FA" w:rsidP="00D850FA">
      <w:pPr>
        <w:jc w:val="both"/>
        <w:rPr>
          <w:rFonts w:ascii="Times New Roman" w:hAnsi="Times New Roman" w:cs="Times New Roman"/>
          <w:color w:val="000000" w:themeColor="text1"/>
          <w:sz w:val="24"/>
          <w:szCs w:val="24"/>
          <w:lang w:val="en-US"/>
        </w:rPr>
      </w:pPr>
      <w:r w:rsidRPr="00052577">
        <w:rPr>
          <w:rFonts w:ascii="Times New Roman" w:hAnsi="Times New Roman" w:cs="Times New Roman"/>
          <w:color w:val="000000" w:themeColor="text1"/>
          <w:sz w:val="24"/>
          <w:szCs w:val="24"/>
          <w:lang w:val="en-US"/>
        </w:rPr>
        <w:t>Emri i personit të kontaktit (nëse është i njohur):</w:t>
      </w:r>
      <w:r w:rsidRPr="00052577">
        <w:rPr>
          <w:rFonts w:ascii="Times New Roman" w:hAnsi="Times New Roman" w:cs="Times New Roman"/>
          <w:color w:val="000000" w:themeColor="text1"/>
          <w:sz w:val="24"/>
          <w:szCs w:val="24"/>
          <w:lang w:val="en-US"/>
        </w:rPr>
        <w:br/>
        <w:t>……………………………………………………………………</w:t>
      </w:r>
    </w:p>
    <w:p w14:paraId="139D70FA" w14:textId="77777777" w:rsidR="00D850FA" w:rsidRPr="00052577" w:rsidRDefault="00D850FA" w:rsidP="00D850FA">
      <w:pPr>
        <w:jc w:val="both"/>
        <w:rPr>
          <w:rFonts w:ascii="Times New Roman" w:hAnsi="Times New Roman" w:cs="Times New Roman"/>
          <w:color w:val="000000" w:themeColor="text1"/>
          <w:sz w:val="24"/>
          <w:szCs w:val="24"/>
          <w:lang w:val="en-US"/>
        </w:rPr>
      </w:pPr>
      <w:r w:rsidRPr="00052577">
        <w:rPr>
          <w:rFonts w:ascii="Times New Roman" w:hAnsi="Times New Roman" w:cs="Times New Roman"/>
          <w:color w:val="000000" w:themeColor="text1"/>
          <w:sz w:val="24"/>
          <w:szCs w:val="24"/>
          <w:lang w:val="en-US"/>
        </w:rPr>
        <w:lastRenderedPageBreak/>
        <w:t>Vërejtje pse aplikanti konsideron se ky autoritet është në pozicion të përshtatshëm për të trajtuar praktikën e pretenduar:</w:t>
      </w:r>
      <w:r w:rsidRPr="00052577">
        <w:rPr>
          <w:rFonts w:ascii="Times New Roman" w:hAnsi="Times New Roman" w:cs="Times New Roman"/>
          <w:color w:val="000000" w:themeColor="text1"/>
          <w:sz w:val="24"/>
          <w:szCs w:val="24"/>
          <w:lang w:val="en-US"/>
        </w:rPr>
        <w:br/>
        <w:t>……………………………………………………………………</w:t>
      </w:r>
    </w:p>
    <w:p w14:paraId="1D40DF5D" w14:textId="77777777" w:rsidR="00B867CE" w:rsidRPr="00156DC9" w:rsidRDefault="00B867CE" w:rsidP="00C6320B">
      <w:pPr>
        <w:jc w:val="both"/>
        <w:rPr>
          <w:rFonts w:ascii="Times New Roman" w:hAnsi="Times New Roman" w:cs="Times New Roman"/>
          <w:sz w:val="24"/>
          <w:szCs w:val="24"/>
        </w:rPr>
      </w:pPr>
    </w:p>
    <w:p w14:paraId="5CC5AB21" w14:textId="77777777" w:rsidR="00B867CE" w:rsidRPr="00156DC9" w:rsidRDefault="00B867CE" w:rsidP="00C6320B">
      <w:pPr>
        <w:jc w:val="both"/>
        <w:rPr>
          <w:rFonts w:ascii="Times New Roman" w:hAnsi="Times New Roman" w:cs="Times New Roman"/>
          <w:sz w:val="24"/>
          <w:szCs w:val="24"/>
        </w:rPr>
      </w:pPr>
    </w:p>
    <w:p w14:paraId="2643019B" w14:textId="77777777"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4. Informacion mbi ekzistencën e kërkesave të tjera për lehtësim nga gjoba</w:t>
      </w:r>
    </w:p>
    <w:p w14:paraId="73A1715F" w14:textId="77777777" w:rsidR="00B867CE" w:rsidRPr="00156DC9" w:rsidRDefault="00B867CE" w:rsidP="00C6320B">
      <w:pPr>
        <w:jc w:val="both"/>
        <w:rPr>
          <w:rFonts w:ascii="Times New Roman" w:hAnsi="Times New Roman" w:cs="Times New Roman"/>
          <w:sz w:val="24"/>
          <w:szCs w:val="24"/>
        </w:rPr>
      </w:pPr>
    </w:p>
    <w:p w14:paraId="79AF42B4" w14:textId="77777777"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 xml:space="preserve">Emri i autoriteteve të konkurrencës të cilave u është paraqitur një aplikim dhe kontakti: ……………………………………………………………………………………… …………………………………………………………………………………………………………………………………………………………………………………………… ……………………………………………………………………………………. </w:t>
      </w:r>
    </w:p>
    <w:p w14:paraId="13873017" w14:textId="72386CB5"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Emri i autoriteteve të konkurrencës të cilave do t'u paraqitet një aplikim: …… ...</w:t>
      </w:r>
    </w:p>
    <w:p w14:paraId="444CAF75" w14:textId="77777777" w:rsidR="00B867CE" w:rsidRPr="00156DC9" w:rsidRDefault="00B867CE" w:rsidP="00C6320B">
      <w:pPr>
        <w:jc w:val="both"/>
        <w:rPr>
          <w:rFonts w:ascii="Times New Roman" w:hAnsi="Times New Roman" w:cs="Times New Roman"/>
          <w:sz w:val="24"/>
          <w:szCs w:val="24"/>
        </w:rPr>
      </w:pPr>
    </w:p>
    <w:p w14:paraId="4CF3F1D2" w14:textId="77777777" w:rsidR="00B867CE" w:rsidRPr="00156DC9" w:rsidRDefault="00B867CE" w:rsidP="00C6320B">
      <w:pPr>
        <w:jc w:val="both"/>
        <w:rPr>
          <w:rFonts w:ascii="Times New Roman" w:hAnsi="Times New Roman" w:cs="Times New Roman"/>
          <w:sz w:val="24"/>
          <w:szCs w:val="24"/>
        </w:rPr>
      </w:pPr>
      <w:r w:rsidRPr="00156DC9">
        <w:rPr>
          <w:rFonts w:ascii="Times New Roman" w:hAnsi="Times New Roman" w:cs="Times New Roman"/>
          <w:sz w:val="24"/>
          <w:szCs w:val="24"/>
        </w:rPr>
        <w:t xml:space="preserve">Data: </w:t>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r>
      <w:r w:rsidRPr="00156DC9">
        <w:rPr>
          <w:rFonts w:ascii="Times New Roman" w:hAnsi="Times New Roman" w:cs="Times New Roman"/>
          <w:sz w:val="24"/>
          <w:szCs w:val="24"/>
        </w:rPr>
        <w:tab/>
        <w:t>Nënshkrimi:</w:t>
      </w:r>
    </w:p>
    <w:p w14:paraId="5E5B62C7" w14:textId="77777777" w:rsidR="00B867CE" w:rsidRPr="00156DC9" w:rsidRDefault="00B867CE" w:rsidP="00C6320B">
      <w:pPr>
        <w:jc w:val="both"/>
        <w:rPr>
          <w:rFonts w:ascii="Times New Roman" w:hAnsi="Times New Roman" w:cs="Times New Roman"/>
          <w:sz w:val="24"/>
          <w:szCs w:val="24"/>
        </w:rPr>
      </w:pPr>
    </w:p>
    <w:sectPr w:rsidR="00B867CE" w:rsidRPr="00156DC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57305" w14:textId="77777777" w:rsidR="000E0200" w:rsidRDefault="000E0200">
      <w:pPr>
        <w:spacing w:after="0" w:line="240" w:lineRule="auto"/>
      </w:pPr>
      <w:r>
        <w:separator/>
      </w:r>
    </w:p>
  </w:endnote>
  <w:endnote w:type="continuationSeparator" w:id="0">
    <w:p w14:paraId="58574664" w14:textId="77777777" w:rsidR="000E0200" w:rsidRDefault="000E0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74600"/>
      <w:docPartObj>
        <w:docPartGallery w:val="Page Numbers (Bottom of Page)"/>
        <w:docPartUnique/>
      </w:docPartObj>
    </w:sdtPr>
    <w:sdtEndPr>
      <w:rPr>
        <w:noProof/>
      </w:rPr>
    </w:sdtEndPr>
    <w:sdtContent>
      <w:p w14:paraId="4DA57911" w14:textId="77777777" w:rsidR="008E1E07" w:rsidRDefault="00F31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225039" w14:textId="77777777" w:rsidR="008E1E07" w:rsidRDefault="008E1E07">
    <w:pPr>
      <w:pStyle w:val="Footer"/>
    </w:pPr>
  </w:p>
  <w:p w14:paraId="174E311A" w14:textId="77777777" w:rsidR="00464DD7" w:rsidRDefault="00464D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6018" w14:textId="77777777" w:rsidR="000E0200" w:rsidRDefault="000E0200">
      <w:pPr>
        <w:spacing w:after="0" w:line="240" w:lineRule="auto"/>
      </w:pPr>
      <w:r>
        <w:separator/>
      </w:r>
    </w:p>
  </w:footnote>
  <w:footnote w:type="continuationSeparator" w:id="0">
    <w:p w14:paraId="2447DF72" w14:textId="77777777" w:rsidR="000E0200" w:rsidRDefault="000E0200">
      <w:pPr>
        <w:spacing w:after="0" w:line="240" w:lineRule="auto"/>
      </w:pPr>
      <w:r>
        <w:continuationSeparator/>
      </w:r>
    </w:p>
  </w:footnote>
  <w:footnote w:id="1">
    <w:p w14:paraId="0EEA71BC" w14:textId="50D3AD81" w:rsidR="0036511E" w:rsidRPr="00DF38A0" w:rsidRDefault="0036511E" w:rsidP="00DF38A0">
      <w:pPr>
        <w:pStyle w:val="FootnoteText"/>
        <w:jc w:val="both"/>
        <w:rPr>
          <w:rFonts w:ascii="Times New Roman" w:hAnsi="Times New Roman" w:cs="Times New Roman"/>
          <w:lang w:val="en-US"/>
        </w:rPr>
      </w:pPr>
      <w:r w:rsidRPr="00DF38A0">
        <w:rPr>
          <w:rStyle w:val="FootnoteReference"/>
          <w:rFonts w:ascii="Times New Roman" w:hAnsi="Times New Roman" w:cs="Times New Roman"/>
        </w:rPr>
        <w:footnoteRef/>
      </w:r>
      <w:r w:rsidRPr="00DF38A0">
        <w:rPr>
          <w:rFonts w:ascii="Times New Roman" w:hAnsi="Times New Roman" w:cs="Times New Roman"/>
        </w:rPr>
        <w:t xml:space="preserve"> </w:t>
      </w:r>
      <w:r w:rsidR="00C6690C" w:rsidRPr="00DF38A0">
        <w:rPr>
          <w:rFonts w:ascii="Times New Roman" w:hAnsi="Times New Roman" w:cs="Times New Roman"/>
        </w:rPr>
        <w:t>Ky udhëzim është përafruar</w:t>
      </w:r>
      <w:r w:rsidR="00C6690C" w:rsidRPr="00C6690C">
        <w:rPr>
          <w:rFonts w:ascii="Times New Roman" w:hAnsi="Times New Roman" w:cs="Times New Roman"/>
        </w:rPr>
        <w:t xml:space="preserve"> me Komunikimin e Komisionit Evropian për imunitetin nga gjobat dhe uljen e gjobave në rastet e karteleve (Commission Notice on Immunity from fines and reduction of fines in cartel cases) (2016/C 298/11), datë 5.8.2016</w:t>
      </w:r>
      <w:r w:rsidR="00013D58">
        <w:rPr>
          <w:rFonts w:ascii="Times New Roman" w:hAnsi="Times New Roman" w:cs="Times New Roman"/>
        </w:rPr>
        <w:t xml:space="preserve">, </w:t>
      </w:r>
      <w:r w:rsidR="00C6690C" w:rsidRPr="00C6690C">
        <w:rPr>
          <w:rFonts w:ascii="Times New Roman" w:hAnsi="Times New Roman" w:cs="Times New Roman"/>
        </w:rPr>
        <w:t>si dhe</w:t>
      </w:r>
      <w:r w:rsidR="00C6690C" w:rsidRPr="00DF38A0">
        <w:rPr>
          <w:rFonts w:ascii="Times New Roman" w:hAnsi="Times New Roman" w:cs="Times New Roman"/>
        </w:rPr>
        <w:t xml:space="preserve"> me Programin Model të Rrjetit Evropian të Konkurrencës për lehtësimin nga gjobat (ECN Model Leniency Programme), i miratuar nga Rrjeti Evropian i Konkurrencës dhe i përditësuar në përputhje me Direktivën (BE) 2019/1 (ECN+). Programi Model shërben si dokument orientues për harmonizimin e programeve kombëtare të lehtësimit nga gjobat brenda Bashkimit Evropian dhe është marrë në konsideratë gjatë hartimit të këtij udhëzimi.</w:t>
      </w:r>
    </w:p>
  </w:footnote>
  <w:footnote w:id="2">
    <w:p w14:paraId="6D8DDD65" w14:textId="13239C8B" w:rsidR="00D43875" w:rsidRPr="00DF38A0" w:rsidRDefault="00D43875" w:rsidP="00DF38A0">
      <w:pPr>
        <w:pStyle w:val="FootnoteText"/>
        <w:jc w:val="both"/>
        <w:rPr>
          <w:rFonts w:ascii="Times New Roman" w:hAnsi="Times New Roman" w:cs="Times New Roman"/>
          <w:lang w:val="en-US"/>
        </w:rPr>
      </w:pPr>
      <w:r w:rsidRPr="00DF38A0">
        <w:rPr>
          <w:rStyle w:val="FootnoteReference"/>
          <w:rFonts w:ascii="Times New Roman" w:hAnsi="Times New Roman" w:cs="Times New Roman"/>
        </w:rPr>
        <w:footnoteRef/>
      </w:r>
      <w:r w:rsidRPr="00DF38A0">
        <w:rPr>
          <w:rFonts w:ascii="Times New Roman" w:hAnsi="Times New Roman" w:cs="Times New Roman"/>
        </w:rPr>
        <w:t xml:space="preserve"> Zbatimi paralel </w:t>
      </w:r>
      <w:r w:rsidR="00687AA7" w:rsidRPr="00687AA7">
        <w:rPr>
          <w:rFonts w:ascii="Times New Roman" w:hAnsi="Times New Roman" w:cs="Times New Roman"/>
        </w:rPr>
        <w:t>ndodh kur dy ose më shumë autoritete zhvillojnë njëkohësisht procedura hetimore ose zbatuese për të njëjtën sjellje antikonkurruese.</w:t>
      </w:r>
    </w:p>
  </w:footnote>
  <w:footnote w:id="3">
    <w:p w14:paraId="6D1579B5" w14:textId="4D77F4D7" w:rsidR="00D43875" w:rsidRPr="00DF38A0" w:rsidRDefault="00D43875" w:rsidP="00DF38A0">
      <w:pPr>
        <w:pStyle w:val="FootnoteText"/>
        <w:jc w:val="both"/>
        <w:rPr>
          <w:rFonts w:ascii="Times New Roman" w:hAnsi="Times New Roman" w:cs="Times New Roman"/>
          <w:lang w:val="en-US"/>
        </w:rPr>
      </w:pPr>
      <w:r w:rsidRPr="00DF38A0">
        <w:rPr>
          <w:rStyle w:val="FootnoteReference"/>
          <w:rFonts w:ascii="Times New Roman" w:hAnsi="Times New Roman" w:cs="Times New Roman"/>
        </w:rPr>
        <w:footnoteRef/>
      </w:r>
      <w:r w:rsidRPr="00DF38A0">
        <w:rPr>
          <w:rFonts w:ascii="Times New Roman" w:hAnsi="Times New Roman" w:cs="Times New Roman"/>
        </w:rPr>
        <w:t xml:space="preserve"> Zbatimi i dyfishte </w:t>
      </w:r>
      <w:r w:rsidR="00687AA7" w:rsidRPr="00687AA7">
        <w:rPr>
          <w:rFonts w:ascii="Times New Roman" w:hAnsi="Times New Roman" w:cs="Times New Roman"/>
        </w:rPr>
        <w:t>i referohet përsëritjes së panevojshme të procedurave ose masave zbatuese nga autoritete të ndryshme për të njëjtën çështje, në rrethana kur koordinimi ndërmjet tyre do të mund të shmangte një mbivendosje të tillë</w:t>
      </w:r>
      <w:r w:rsidRPr="000E608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60F"/>
    <w:multiLevelType w:val="hybridMultilevel"/>
    <w:tmpl w:val="20CC9C28"/>
    <w:lvl w:ilvl="0" w:tplc="AEC42B6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31087"/>
    <w:multiLevelType w:val="hybridMultilevel"/>
    <w:tmpl w:val="9D868B20"/>
    <w:lvl w:ilvl="0" w:tplc="8D1E4A9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54B78"/>
    <w:multiLevelType w:val="hybridMultilevel"/>
    <w:tmpl w:val="08E82F82"/>
    <w:lvl w:ilvl="0" w:tplc="B03EE96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270B9D"/>
    <w:multiLevelType w:val="hybridMultilevel"/>
    <w:tmpl w:val="703AD7E2"/>
    <w:lvl w:ilvl="0" w:tplc="2504894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9A448844">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5A3BB5"/>
    <w:multiLevelType w:val="hybridMultilevel"/>
    <w:tmpl w:val="EDB4AF78"/>
    <w:lvl w:ilvl="0" w:tplc="CBEC9E06">
      <w:start w:val="1"/>
      <w:numFmt w:val="low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15:restartNumberingAfterBreak="0">
    <w:nsid w:val="43CF1033"/>
    <w:multiLevelType w:val="hybridMultilevel"/>
    <w:tmpl w:val="B538BFA6"/>
    <w:lvl w:ilvl="0" w:tplc="FC0020E8">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53C90161"/>
    <w:multiLevelType w:val="hybridMultilevel"/>
    <w:tmpl w:val="81F626BA"/>
    <w:lvl w:ilvl="0" w:tplc="B03EE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3A7CE1"/>
    <w:multiLevelType w:val="hybridMultilevel"/>
    <w:tmpl w:val="34F64DD4"/>
    <w:lvl w:ilvl="0" w:tplc="B03EE96C">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7F0D62FA"/>
    <w:multiLevelType w:val="hybridMultilevel"/>
    <w:tmpl w:val="81367284"/>
    <w:lvl w:ilvl="0" w:tplc="E17AB7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5193207">
    <w:abstractNumId w:val="3"/>
  </w:num>
  <w:num w:numId="2" w16cid:durableId="346447768">
    <w:abstractNumId w:val="6"/>
  </w:num>
  <w:num w:numId="3" w16cid:durableId="2137211889">
    <w:abstractNumId w:val="1"/>
  </w:num>
  <w:num w:numId="4" w16cid:durableId="2131699152">
    <w:abstractNumId w:val="0"/>
  </w:num>
  <w:num w:numId="5" w16cid:durableId="1609048887">
    <w:abstractNumId w:val="5"/>
  </w:num>
  <w:num w:numId="6" w16cid:durableId="228076286">
    <w:abstractNumId w:val="8"/>
  </w:num>
  <w:num w:numId="7" w16cid:durableId="1214192741">
    <w:abstractNumId w:val="4"/>
  </w:num>
  <w:num w:numId="8" w16cid:durableId="1354913613">
    <w:abstractNumId w:val="2"/>
  </w:num>
  <w:num w:numId="9" w16cid:durableId="1381243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C2"/>
    <w:rsid w:val="00013D58"/>
    <w:rsid w:val="000434E7"/>
    <w:rsid w:val="00047145"/>
    <w:rsid w:val="00052577"/>
    <w:rsid w:val="00057D0E"/>
    <w:rsid w:val="000A1A75"/>
    <w:rsid w:val="000E0200"/>
    <w:rsid w:val="000E6083"/>
    <w:rsid w:val="00120582"/>
    <w:rsid w:val="00145AB1"/>
    <w:rsid w:val="0015000D"/>
    <w:rsid w:val="00156DC9"/>
    <w:rsid w:val="00236E9E"/>
    <w:rsid w:val="00253510"/>
    <w:rsid w:val="0029469F"/>
    <w:rsid w:val="002E1447"/>
    <w:rsid w:val="003337D0"/>
    <w:rsid w:val="003457C2"/>
    <w:rsid w:val="00350F7A"/>
    <w:rsid w:val="00352DD2"/>
    <w:rsid w:val="00360113"/>
    <w:rsid w:val="0036511E"/>
    <w:rsid w:val="003C6407"/>
    <w:rsid w:val="00413385"/>
    <w:rsid w:val="00446565"/>
    <w:rsid w:val="00450994"/>
    <w:rsid w:val="00464DD7"/>
    <w:rsid w:val="004926E6"/>
    <w:rsid w:val="00492D9D"/>
    <w:rsid w:val="004D14D8"/>
    <w:rsid w:val="00504C76"/>
    <w:rsid w:val="0050690B"/>
    <w:rsid w:val="005125AE"/>
    <w:rsid w:val="00541EFD"/>
    <w:rsid w:val="005B3AA2"/>
    <w:rsid w:val="006370C5"/>
    <w:rsid w:val="006811F4"/>
    <w:rsid w:val="00687AA7"/>
    <w:rsid w:val="006B3B73"/>
    <w:rsid w:val="006C10F8"/>
    <w:rsid w:val="006F3A93"/>
    <w:rsid w:val="00700DBA"/>
    <w:rsid w:val="007027DE"/>
    <w:rsid w:val="0077290E"/>
    <w:rsid w:val="0079630E"/>
    <w:rsid w:val="007A0375"/>
    <w:rsid w:val="007A4F7D"/>
    <w:rsid w:val="007B1686"/>
    <w:rsid w:val="007B2F5F"/>
    <w:rsid w:val="007F252C"/>
    <w:rsid w:val="00841208"/>
    <w:rsid w:val="00847EE1"/>
    <w:rsid w:val="00892B39"/>
    <w:rsid w:val="008E1E07"/>
    <w:rsid w:val="008F5058"/>
    <w:rsid w:val="00912C28"/>
    <w:rsid w:val="00925D54"/>
    <w:rsid w:val="00955825"/>
    <w:rsid w:val="00960ED3"/>
    <w:rsid w:val="00980F05"/>
    <w:rsid w:val="009A7F87"/>
    <w:rsid w:val="009B6FC8"/>
    <w:rsid w:val="009C629C"/>
    <w:rsid w:val="009D79C4"/>
    <w:rsid w:val="00A4251C"/>
    <w:rsid w:val="00AA06CE"/>
    <w:rsid w:val="00AB19C4"/>
    <w:rsid w:val="00AB79AD"/>
    <w:rsid w:val="00B11C0F"/>
    <w:rsid w:val="00B40999"/>
    <w:rsid w:val="00B55EB4"/>
    <w:rsid w:val="00B867CE"/>
    <w:rsid w:val="00B927D4"/>
    <w:rsid w:val="00BA0688"/>
    <w:rsid w:val="00BA5A26"/>
    <w:rsid w:val="00BC30BB"/>
    <w:rsid w:val="00BE245F"/>
    <w:rsid w:val="00C6320B"/>
    <w:rsid w:val="00C6690C"/>
    <w:rsid w:val="00CA0998"/>
    <w:rsid w:val="00CA6FA6"/>
    <w:rsid w:val="00CE67CE"/>
    <w:rsid w:val="00CF3CD0"/>
    <w:rsid w:val="00D43875"/>
    <w:rsid w:val="00D76075"/>
    <w:rsid w:val="00D82A7D"/>
    <w:rsid w:val="00D84458"/>
    <w:rsid w:val="00D850FA"/>
    <w:rsid w:val="00D95D00"/>
    <w:rsid w:val="00DA50FB"/>
    <w:rsid w:val="00DB0987"/>
    <w:rsid w:val="00DC2634"/>
    <w:rsid w:val="00DE7794"/>
    <w:rsid w:val="00DF2AF5"/>
    <w:rsid w:val="00DF38A0"/>
    <w:rsid w:val="00E05639"/>
    <w:rsid w:val="00E60EED"/>
    <w:rsid w:val="00E70026"/>
    <w:rsid w:val="00E83C82"/>
    <w:rsid w:val="00E87C7F"/>
    <w:rsid w:val="00EB3F78"/>
    <w:rsid w:val="00F02FCA"/>
    <w:rsid w:val="00F25EDC"/>
    <w:rsid w:val="00F316B8"/>
    <w:rsid w:val="00F329C3"/>
    <w:rsid w:val="00F3582E"/>
    <w:rsid w:val="00F44A24"/>
    <w:rsid w:val="00F75404"/>
    <w:rsid w:val="00FA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78B4"/>
  <w15:chartTrackingRefBased/>
  <w15:docId w15:val="{B998157C-D314-4876-8BE6-505B46D9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q"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7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7C2"/>
    <w:pPr>
      <w:ind w:left="720"/>
      <w:contextualSpacing/>
    </w:pPr>
  </w:style>
  <w:style w:type="paragraph" w:styleId="Footer">
    <w:name w:val="footer"/>
    <w:basedOn w:val="Normal"/>
    <w:link w:val="FooterChar"/>
    <w:uiPriority w:val="99"/>
    <w:unhideWhenUsed/>
    <w:rsid w:val="00345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7C2"/>
  </w:style>
  <w:style w:type="character" w:styleId="CommentReference">
    <w:name w:val="annotation reference"/>
    <w:basedOn w:val="DefaultParagraphFont"/>
    <w:uiPriority w:val="99"/>
    <w:semiHidden/>
    <w:unhideWhenUsed/>
    <w:rsid w:val="003457C2"/>
    <w:rPr>
      <w:sz w:val="16"/>
      <w:szCs w:val="16"/>
    </w:rPr>
  </w:style>
  <w:style w:type="paragraph" w:styleId="CommentText">
    <w:name w:val="annotation text"/>
    <w:basedOn w:val="Normal"/>
    <w:link w:val="CommentTextChar"/>
    <w:uiPriority w:val="99"/>
    <w:unhideWhenUsed/>
    <w:rsid w:val="003457C2"/>
    <w:pPr>
      <w:spacing w:line="240" w:lineRule="auto"/>
    </w:pPr>
    <w:rPr>
      <w:sz w:val="20"/>
      <w:szCs w:val="20"/>
    </w:rPr>
  </w:style>
  <w:style w:type="character" w:customStyle="1" w:styleId="CommentTextChar">
    <w:name w:val="Comment Text Char"/>
    <w:basedOn w:val="DefaultParagraphFont"/>
    <w:link w:val="CommentText"/>
    <w:uiPriority w:val="99"/>
    <w:rsid w:val="003457C2"/>
    <w:rPr>
      <w:sz w:val="20"/>
      <w:szCs w:val="20"/>
    </w:rPr>
  </w:style>
  <w:style w:type="paragraph" w:styleId="NormalWeb">
    <w:name w:val="Normal (Web)"/>
    <w:basedOn w:val="Normal"/>
    <w:uiPriority w:val="99"/>
    <w:unhideWhenUsed/>
    <w:rsid w:val="003457C2"/>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E7794"/>
    <w:rPr>
      <w:b/>
      <w:bCs/>
    </w:rPr>
  </w:style>
  <w:style w:type="character" w:customStyle="1" w:styleId="CommentSubjectChar">
    <w:name w:val="Comment Subject Char"/>
    <w:basedOn w:val="CommentTextChar"/>
    <w:link w:val="CommentSubject"/>
    <w:uiPriority w:val="99"/>
    <w:semiHidden/>
    <w:rsid w:val="00DE7794"/>
    <w:rPr>
      <w:b/>
      <w:bCs/>
      <w:sz w:val="20"/>
      <w:szCs w:val="20"/>
    </w:rPr>
  </w:style>
  <w:style w:type="character" w:styleId="Strong">
    <w:name w:val="Strong"/>
    <w:basedOn w:val="DefaultParagraphFont"/>
    <w:uiPriority w:val="22"/>
    <w:qFormat/>
    <w:rsid w:val="00D43875"/>
    <w:rPr>
      <w:b/>
      <w:bCs/>
    </w:rPr>
  </w:style>
  <w:style w:type="paragraph" w:styleId="FootnoteText">
    <w:name w:val="footnote text"/>
    <w:basedOn w:val="Normal"/>
    <w:link w:val="FootnoteTextChar"/>
    <w:uiPriority w:val="99"/>
    <w:semiHidden/>
    <w:unhideWhenUsed/>
    <w:rsid w:val="00D438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875"/>
    <w:rPr>
      <w:sz w:val="20"/>
      <w:szCs w:val="20"/>
    </w:rPr>
  </w:style>
  <w:style w:type="character" w:styleId="FootnoteReference">
    <w:name w:val="footnote reference"/>
    <w:basedOn w:val="DefaultParagraphFont"/>
    <w:uiPriority w:val="99"/>
    <w:semiHidden/>
    <w:unhideWhenUsed/>
    <w:rsid w:val="00D43875"/>
    <w:rPr>
      <w:vertAlign w:val="superscript"/>
    </w:rPr>
  </w:style>
  <w:style w:type="paragraph" w:styleId="Revision">
    <w:name w:val="Revision"/>
    <w:hidden/>
    <w:uiPriority w:val="99"/>
    <w:semiHidden/>
    <w:rsid w:val="003337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0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B153D-10D2-43B5-8CCD-35C2FF02C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4367</Words>
  <Characters>24896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 Lama</dc:creator>
  <cp:keywords/>
  <dc:description/>
  <cp:lastModifiedBy>Iris Karalliu</cp:lastModifiedBy>
  <cp:revision>19</cp:revision>
  <dcterms:created xsi:type="dcterms:W3CDTF">2026-07-15T12:46:00Z</dcterms:created>
  <dcterms:modified xsi:type="dcterms:W3CDTF">2026-08-19T11:42:00Z</dcterms:modified>
</cp:coreProperties>
</file>