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BF" w:rsidRPr="00D25594" w:rsidRDefault="00041AC0" w:rsidP="00C344EC">
      <w:pPr>
        <w:spacing w:before="24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I nderuar Z. Braçe, Kryetar i Komisionit,</w:t>
      </w:r>
    </w:p>
    <w:p w:rsidR="00041AC0" w:rsidRPr="00D25594" w:rsidRDefault="00041AC0" w:rsidP="00C344EC">
      <w:pPr>
        <w:spacing w:before="24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T</w:t>
      </w:r>
      <w:r w:rsidR="000E6CB5" w:rsidRPr="00D25594">
        <w:rPr>
          <w:rFonts w:ascii="Arial" w:hAnsi="Arial" w:cs="Arial"/>
          <w:sz w:val="32"/>
          <w:szCs w:val="32"/>
        </w:rPr>
        <w:t>ë</w:t>
      </w:r>
      <w:r w:rsidRPr="00D25594">
        <w:rPr>
          <w:rFonts w:ascii="Arial" w:hAnsi="Arial" w:cs="Arial"/>
          <w:sz w:val="32"/>
          <w:szCs w:val="32"/>
        </w:rPr>
        <w:t xml:space="preserve"> nderuar zonja dhe zot</w:t>
      </w:r>
      <w:r w:rsidR="000E6CB5" w:rsidRPr="00D25594">
        <w:rPr>
          <w:rFonts w:ascii="Arial" w:hAnsi="Arial" w:cs="Arial"/>
          <w:sz w:val="32"/>
          <w:szCs w:val="32"/>
        </w:rPr>
        <w:t>ë</w:t>
      </w:r>
      <w:r w:rsidRPr="00D25594">
        <w:rPr>
          <w:rFonts w:ascii="Arial" w:hAnsi="Arial" w:cs="Arial"/>
          <w:sz w:val="32"/>
          <w:szCs w:val="32"/>
        </w:rPr>
        <w:t>rinj deputet</w:t>
      </w:r>
      <w:r w:rsidR="000E6CB5" w:rsidRPr="00D25594">
        <w:rPr>
          <w:rFonts w:ascii="Arial" w:hAnsi="Arial" w:cs="Arial"/>
          <w:sz w:val="32"/>
          <w:szCs w:val="32"/>
        </w:rPr>
        <w:t>ë</w:t>
      </w:r>
      <w:r w:rsidRPr="00D25594">
        <w:rPr>
          <w:rFonts w:ascii="Arial" w:hAnsi="Arial" w:cs="Arial"/>
          <w:sz w:val="32"/>
          <w:szCs w:val="32"/>
        </w:rPr>
        <w:t>, An</w:t>
      </w:r>
      <w:r w:rsidR="000E6CB5" w:rsidRPr="00D25594">
        <w:rPr>
          <w:rFonts w:ascii="Arial" w:hAnsi="Arial" w:cs="Arial"/>
          <w:sz w:val="32"/>
          <w:szCs w:val="32"/>
        </w:rPr>
        <w:t>ë</w:t>
      </w:r>
      <w:r w:rsidRPr="00D25594">
        <w:rPr>
          <w:rFonts w:ascii="Arial" w:hAnsi="Arial" w:cs="Arial"/>
          <w:sz w:val="32"/>
          <w:szCs w:val="32"/>
        </w:rPr>
        <w:t>tar</w:t>
      </w:r>
      <w:r w:rsidR="00D24499">
        <w:rPr>
          <w:rFonts w:ascii="Arial" w:hAnsi="Arial" w:cs="Arial"/>
          <w:sz w:val="32"/>
          <w:szCs w:val="32"/>
        </w:rPr>
        <w:t>ë</w:t>
      </w:r>
      <w:r w:rsidRPr="00D25594">
        <w:rPr>
          <w:rFonts w:ascii="Arial" w:hAnsi="Arial" w:cs="Arial"/>
          <w:sz w:val="32"/>
          <w:szCs w:val="32"/>
        </w:rPr>
        <w:t xml:space="preserve"> t</w:t>
      </w:r>
      <w:r w:rsidR="000E6CB5" w:rsidRPr="00D25594">
        <w:rPr>
          <w:rFonts w:ascii="Arial" w:hAnsi="Arial" w:cs="Arial"/>
          <w:sz w:val="32"/>
          <w:szCs w:val="32"/>
        </w:rPr>
        <w:t>ë</w:t>
      </w:r>
      <w:r w:rsidRPr="00D25594">
        <w:rPr>
          <w:rFonts w:ascii="Arial" w:hAnsi="Arial" w:cs="Arial"/>
          <w:sz w:val="32"/>
          <w:szCs w:val="32"/>
        </w:rPr>
        <w:t xml:space="preserve"> Komisionit,</w:t>
      </w:r>
    </w:p>
    <w:p w:rsidR="00970FBF" w:rsidRPr="00D25594" w:rsidRDefault="00970FBF" w:rsidP="00C344EC">
      <w:pPr>
        <w:spacing w:before="240"/>
        <w:jc w:val="both"/>
        <w:rPr>
          <w:rFonts w:ascii="Arial" w:hAnsi="Arial" w:cs="Arial"/>
          <w:sz w:val="32"/>
          <w:szCs w:val="32"/>
        </w:rPr>
      </w:pPr>
    </w:p>
    <w:p w:rsidR="00041AC0" w:rsidRPr="00D25594" w:rsidRDefault="000E6CB5" w:rsidP="00041AC0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Duke ju falenderuar për mbështetjen dhe vëmendjen tuaj, </w:t>
      </w:r>
      <w:r w:rsidR="00624E5B">
        <w:rPr>
          <w:rFonts w:ascii="Arial" w:hAnsi="Arial" w:cs="Arial"/>
          <w:sz w:val="32"/>
          <w:szCs w:val="32"/>
        </w:rPr>
        <w:t>n</w:t>
      </w:r>
      <w:r w:rsidR="00B345BE">
        <w:rPr>
          <w:rFonts w:ascii="Arial" w:hAnsi="Arial" w:cs="Arial"/>
          <w:sz w:val="32"/>
          <w:szCs w:val="32"/>
        </w:rPr>
        <w:t>ë</w:t>
      </w:r>
      <w:r w:rsidR="00624E5B">
        <w:rPr>
          <w:rFonts w:ascii="Arial" w:hAnsi="Arial" w:cs="Arial"/>
          <w:sz w:val="32"/>
          <w:szCs w:val="32"/>
        </w:rPr>
        <w:t xml:space="preserve"> em</w:t>
      </w:r>
      <w:r w:rsidR="00B345BE">
        <w:rPr>
          <w:rFonts w:ascii="Arial" w:hAnsi="Arial" w:cs="Arial"/>
          <w:sz w:val="32"/>
          <w:szCs w:val="32"/>
        </w:rPr>
        <w:t>ë</w:t>
      </w:r>
      <w:r w:rsidR="00624E5B">
        <w:rPr>
          <w:rFonts w:ascii="Arial" w:hAnsi="Arial" w:cs="Arial"/>
          <w:sz w:val="32"/>
          <w:szCs w:val="32"/>
        </w:rPr>
        <w:t>r t</w:t>
      </w:r>
      <w:r w:rsidR="00B345BE">
        <w:rPr>
          <w:rFonts w:ascii="Arial" w:hAnsi="Arial" w:cs="Arial"/>
          <w:sz w:val="32"/>
          <w:szCs w:val="32"/>
        </w:rPr>
        <w:t>ë</w:t>
      </w:r>
      <w:r w:rsidR="00624E5B">
        <w:rPr>
          <w:rFonts w:ascii="Arial" w:hAnsi="Arial" w:cs="Arial"/>
          <w:sz w:val="32"/>
          <w:szCs w:val="32"/>
        </w:rPr>
        <w:t xml:space="preserve"> Komisionit t</w:t>
      </w:r>
      <w:r w:rsidR="00B345BE">
        <w:rPr>
          <w:rFonts w:ascii="Arial" w:hAnsi="Arial" w:cs="Arial"/>
          <w:sz w:val="32"/>
          <w:szCs w:val="32"/>
        </w:rPr>
        <w:t>ë</w:t>
      </w:r>
      <w:r w:rsidR="00624E5B">
        <w:rPr>
          <w:rFonts w:ascii="Arial" w:hAnsi="Arial" w:cs="Arial"/>
          <w:sz w:val="32"/>
          <w:szCs w:val="32"/>
        </w:rPr>
        <w:t xml:space="preserve"> Konkurrenc</w:t>
      </w:r>
      <w:r w:rsidR="00B345BE">
        <w:rPr>
          <w:rFonts w:ascii="Arial" w:hAnsi="Arial" w:cs="Arial"/>
          <w:sz w:val="32"/>
          <w:szCs w:val="32"/>
        </w:rPr>
        <w:t>ë</w:t>
      </w:r>
      <w:r w:rsidR="00624E5B">
        <w:rPr>
          <w:rFonts w:ascii="Arial" w:hAnsi="Arial" w:cs="Arial"/>
          <w:sz w:val="32"/>
          <w:szCs w:val="32"/>
        </w:rPr>
        <w:t>s</w:t>
      </w:r>
      <w:r w:rsidR="00D24499">
        <w:rPr>
          <w:rFonts w:ascii="Arial" w:hAnsi="Arial" w:cs="Arial"/>
          <w:sz w:val="32"/>
          <w:szCs w:val="32"/>
        </w:rPr>
        <w:t>,</w:t>
      </w:r>
      <w:r w:rsidR="00624E5B">
        <w:rPr>
          <w:rFonts w:ascii="Arial" w:hAnsi="Arial" w:cs="Arial"/>
          <w:sz w:val="32"/>
          <w:szCs w:val="32"/>
        </w:rPr>
        <w:t xml:space="preserve"> prezantoj</w:t>
      </w:r>
      <w:r w:rsidRPr="00D25594">
        <w:rPr>
          <w:rFonts w:ascii="Arial" w:hAnsi="Arial" w:cs="Arial"/>
          <w:sz w:val="32"/>
          <w:szCs w:val="32"/>
        </w:rPr>
        <w:t xml:space="preserve"> në këtë seancë </w:t>
      </w:r>
      <w:r w:rsidR="00041AC0" w:rsidRPr="00D25594">
        <w:rPr>
          <w:rFonts w:ascii="Arial" w:hAnsi="Arial" w:cs="Arial"/>
          <w:sz w:val="32"/>
          <w:szCs w:val="32"/>
        </w:rPr>
        <w:t>aktivitetin e institucionit t</w:t>
      </w:r>
      <w:r w:rsidRPr="00D25594">
        <w:rPr>
          <w:rFonts w:ascii="Arial" w:hAnsi="Arial" w:cs="Arial"/>
          <w:sz w:val="32"/>
          <w:szCs w:val="32"/>
        </w:rPr>
        <w:t>ë</w:t>
      </w:r>
      <w:r w:rsidR="00041AC0" w:rsidRPr="00D25594">
        <w:rPr>
          <w:rFonts w:ascii="Arial" w:hAnsi="Arial" w:cs="Arial"/>
          <w:sz w:val="32"/>
          <w:szCs w:val="32"/>
        </w:rPr>
        <w:t xml:space="preserve"> konkurrenc</w:t>
      </w:r>
      <w:r w:rsidR="00D24499">
        <w:rPr>
          <w:rFonts w:ascii="Arial" w:hAnsi="Arial" w:cs="Arial"/>
          <w:sz w:val="32"/>
          <w:szCs w:val="32"/>
        </w:rPr>
        <w:t>ë</w:t>
      </w:r>
      <w:r w:rsidR="00041AC0" w:rsidRPr="00D25594">
        <w:rPr>
          <w:rFonts w:ascii="Arial" w:hAnsi="Arial" w:cs="Arial"/>
          <w:sz w:val="32"/>
          <w:szCs w:val="32"/>
        </w:rPr>
        <w:t xml:space="preserve">s për vitin 2013 si dhe prioritet për vitin që ka filluar. </w:t>
      </w:r>
    </w:p>
    <w:p w:rsidR="006B2297" w:rsidRPr="00D25594" w:rsidRDefault="00DF04E8" w:rsidP="00D22689">
      <w:pPr>
        <w:spacing w:before="2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Autoritet</w:t>
      </w:r>
      <w:r w:rsidR="00EA3A3F" w:rsidRPr="00D25594">
        <w:rPr>
          <w:rFonts w:ascii="Arial" w:hAnsi="Arial" w:cs="Arial"/>
          <w:sz w:val="32"/>
          <w:szCs w:val="32"/>
        </w:rPr>
        <w:t>i i Konkurrenc</w:t>
      </w:r>
      <w:r w:rsidR="00D22689" w:rsidRPr="00D25594">
        <w:rPr>
          <w:rFonts w:ascii="Arial" w:hAnsi="Arial" w:cs="Arial"/>
          <w:sz w:val="32"/>
          <w:szCs w:val="32"/>
        </w:rPr>
        <w:t>ë</w:t>
      </w:r>
      <w:r w:rsidR="00EA3A3F" w:rsidRPr="00D25594">
        <w:rPr>
          <w:rFonts w:ascii="Arial" w:hAnsi="Arial" w:cs="Arial"/>
          <w:sz w:val="32"/>
          <w:szCs w:val="32"/>
        </w:rPr>
        <w:t xml:space="preserve">s </w:t>
      </w:r>
      <w:r w:rsidR="00D22689" w:rsidRPr="00D25594">
        <w:rPr>
          <w:rFonts w:ascii="Arial" w:hAnsi="Arial" w:cs="Arial"/>
          <w:sz w:val="32"/>
          <w:szCs w:val="32"/>
        </w:rPr>
        <w:t>ë</w:t>
      </w:r>
      <w:r w:rsidR="00EA3A3F" w:rsidRPr="00D25594">
        <w:rPr>
          <w:rFonts w:ascii="Arial" w:hAnsi="Arial" w:cs="Arial"/>
          <w:sz w:val="32"/>
          <w:szCs w:val="32"/>
        </w:rPr>
        <w:t>sht</w:t>
      </w:r>
      <w:r w:rsidR="00D22689" w:rsidRPr="00D25594">
        <w:rPr>
          <w:rFonts w:ascii="Arial" w:hAnsi="Arial" w:cs="Arial"/>
          <w:sz w:val="32"/>
          <w:szCs w:val="32"/>
        </w:rPr>
        <w:t>ë</w:t>
      </w:r>
      <w:r w:rsidR="00EA3A3F" w:rsidRPr="00D25594">
        <w:rPr>
          <w:rFonts w:ascii="Arial" w:hAnsi="Arial" w:cs="Arial"/>
          <w:sz w:val="32"/>
          <w:szCs w:val="32"/>
        </w:rPr>
        <w:t xml:space="preserve"> institucioni </w:t>
      </w:r>
      <w:r w:rsidR="00041AC0" w:rsidRPr="00D25594">
        <w:rPr>
          <w:rFonts w:ascii="Arial" w:hAnsi="Arial" w:cs="Arial"/>
          <w:sz w:val="32"/>
          <w:szCs w:val="32"/>
        </w:rPr>
        <w:t xml:space="preserve">publik </w:t>
      </w:r>
      <w:r w:rsidR="00EA3A3F" w:rsidRPr="00D25594">
        <w:rPr>
          <w:rFonts w:ascii="Arial" w:hAnsi="Arial" w:cs="Arial"/>
          <w:sz w:val="32"/>
          <w:szCs w:val="32"/>
        </w:rPr>
        <w:t>i ngarkuar p</w:t>
      </w:r>
      <w:r w:rsidR="00D22689" w:rsidRPr="00D25594">
        <w:rPr>
          <w:rFonts w:ascii="Arial" w:hAnsi="Arial" w:cs="Arial"/>
          <w:sz w:val="32"/>
          <w:szCs w:val="32"/>
        </w:rPr>
        <w:t>ë</w:t>
      </w:r>
      <w:r w:rsidR="00EA3A3F" w:rsidRPr="00D25594">
        <w:rPr>
          <w:rFonts w:ascii="Arial" w:hAnsi="Arial" w:cs="Arial"/>
          <w:sz w:val="32"/>
          <w:szCs w:val="32"/>
        </w:rPr>
        <w:t xml:space="preserve">r mbrojtjen dhe nxitjen e konkurrencës së lirë </w:t>
      </w:r>
      <w:r w:rsidR="00D22689" w:rsidRPr="00D25594">
        <w:rPr>
          <w:rFonts w:ascii="Arial" w:hAnsi="Arial" w:cs="Arial"/>
          <w:sz w:val="32"/>
          <w:szCs w:val="32"/>
        </w:rPr>
        <w:t xml:space="preserve">dhe efektive </w:t>
      </w:r>
      <w:r w:rsidR="00EA3A3F" w:rsidRPr="00D25594">
        <w:rPr>
          <w:rFonts w:ascii="Arial" w:hAnsi="Arial" w:cs="Arial"/>
          <w:sz w:val="32"/>
          <w:szCs w:val="32"/>
        </w:rPr>
        <w:t>në treg</w:t>
      </w:r>
      <w:r w:rsidR="00D22689" w:rsidRPr="00D25594">
        <w:rPr>
          <w:rFonts w:ascii="Arial" w:hAnsi="Arial" w:cs="Arial"/>
          <w:sz w:val="32"/>
          <w:szCs w:val="32"/>
        </w:rPr>
        <w:t>, në</w:t>
      </w:r>
      <w:r w:rsidR="00EA3A3F" w:rsidRPr="00D25594">
        <w:rPr>
          <w:rFonts w:ascii="Arial" w:hAnsi="Arial" w:cs="Arial"/>
          <w:sz w:val="32"/>
          <w:szCs w:val="32"/>
        </w:rPr>
        <w:t xml:space="preserve"> </w:t>
      </w:r>
      <w:r w:rsidR="00D22689" w:rsidRPr="00D25594">
        <w:rPr>
          <w:rFonts w:ascii="Arial" w:hAnsi="Arial" w:cs="Arial"/>
          <w:sz w:val="32"/>
          <w:szCs w:val="32"/>
        </w:rPr>
        <w:t>zbatim</w:t>
      </w:r>
      <w:r w:rsidR="00EA3A3F" w:rsidRPr="00D25594">
        <w:rPr>
          <w:rFonts w:ascii="Arial" w:hAnsi="Arial" w:cs="Arial"/>
          <w:sz w:val="32"/>
          <w:szCs w:val="32"/>
        </w:rPr>
        <w:t xml:space="preserve"> </w:t>
      </w:r>
      <w:r w:rsidR="00D22689" w:rsidRPr="00D25594">
        <w:rPr>
          <w:rFonts w:ascii="Arial" w:hAnsi="Arial" w:cs="Arial"/>
          <w:sz w:val="32"/>
          <w:szCs w:val="32"/>
        </w:rPr>
        <w:t>të</w:t>
      </w:r>
      <w:r w:rsidR="00EA3A3F" w:rsidRPr="00D25594">
        <w:rPr>
          <w:rFonts w:ascii="Arial" w:hAnsi="Arial" w:cs="Arial"/>
          <w:sz w:val="32"/>
          <w:szCs w:val="32"/>
        </w:rPr>
        <w:t xml:space="preserve"> Ligjit nr. 9121, datë 28.07.2003 “Për mbrojtjen e konkurrencës” (i ndryshuar)</w:t>
      </w:r>
      <w:r w:rsidR="00624E5B">
        <w:rPr>
          <w:rFonts w:ascii="Arial" w:hAnsi="Arial" w:cs="Arial"/>
          <w:sz w:val="32"/>
          <w:szCs w:val="32"/>
        </w:rPr>
        <w:t xml:space="preserve">, </w:t>
      </w:r>
      <w:r w:rsidR="00EA3A3F" w:rsidRPr="00D25594">
        <w:rPr>
          <w:rFonts w:ascii="Arial" w:hAnsi="Arial" w:cs="Arial"/>
          <w:sz w:val="32"/>
          <w:szCs w:val="32"/>
        </w:rPr>
        <w:t>Politik</w:t>
      </w:r>
      <w:r w:rsidR="00D22689" w:rsidRPr="00D25594">
        <w:rPr>
          <w:rFonts w:ascii="Arial" w:hAnsi="Arial" w:cs="Arial"/>
          <w:sz w:val="32"/>
          <w:szCs w:val="32"/>
        </w:rPr>
        <w:t>ë</w:t>
      </w:r>
      <w:r w:rsidR="00624E5B">
        <w:rPr>
          <w:rFonts w:ascii="Arial" w:hAnsi="Arial" w:cs="Arial"/>
          <w:sz w:val="32"/>
          <w:szCs w:val="32"/>
        </w:rPr>
        <w:t>s Kombëtare t</w:t>
      </w:r>
      <w:r w:rsidR="00B345BE">
        <w:rPr>
          <w:rFonts w:ascii="Arial" w:hAnsi="Arial" w:cs="Arial"/>
          <w:sz w:val="32"/>
          <w:szCs w:val="32"/>
        </w:rPr>
        <w:t>ë</w:t>
      </w:r>
      <w:r w:rsidR="00EA3A3F" w:rsidRPr="00D25594">
        <w:rPr>
          <w:rFonts w:ascii="Arial" w:hAnsi="Arial" w:cs="Arial"/>
          <w:sz w:val="32"/>
          <w:szCs w:val="32"/>
        </w:rPr>
        <w:t xml:space="preserve"> Konkurrencës</w:t>
      </w:r>
      <w:r w:rsidR="00624E5B">
        <w:rPr>
          <w:rFonts w:ascii="Arial" w:hAnsi="Arial" w:cs="Arial"/>
          <w:sz w:val="32"/>
          <w:szCs w:val="32"/>
        </w:rPr>
        <w:t>, praktikave m</w:t>
      </w:r>
      <w:r w:rsidR="00B345BE">
        <w:rPr>
          <w:rFonts w:ascii="Arial" w:hAnsi="Arial" w:cs="Arial"/>
          <w:sz w:val="32"/>
          <w:szCs w:val="32"/>
        </w:rPr>
        <w:t>ë</w:t>
      </w:r>
      <w:r w:rsidR="00624E5B">
        <w:rPr>
          <w:rFonts w:ascii="Arial" w:hAnsi="Arial" w:cs="Arial"/>
          <w:sz w:val="32"/>
          <w:szCs w:val="32"/>
        </w:rPr>
        <w:t xml:space="preserve"> t</w:t>
      </w:r>
      <w:r w:rsidR="00B345BE">
        <w:rPr>
          <w:rFonts w:ascii="Arial" w:hAnsi="Arial" w:cs="Arial"/>
          <w:sz w:val="32"/>
          <w:szCs w:val="32"/>
        </w:rPr>
        <w:t>ë</w:t>
      </w:r>
      <w:r w:rsidR="00624E5B">
        <w:rPr>
          <w:rFonts w:ascii="Arial" w:hAnsi="Arial" w:cs="Arial"/>
          <w:sz w:val="32"/>
          <w:szCs w:val="32"/>
        </w:rPr>
        <w:t xml:space="preserve"> mira </w:t>
      </w:r>
      <w:r w:rsidR="00041AC0" w:rsidRPr="00D25594">
        <w:rPr>
          <w:rFonts w:ascii="Arial" w:hAnsi="Arial" w:cs="Arial"/>
          <w:sz w:val="32"/>
          <w:szCs w:val="32"/>
        </w:rPr>
        <w:t xml:space="preserve">të së drejtës europiane të konkurrencës, </w:t>
      </w:r>
      <w:r w:rsidR="00D22689" w:rsidRPr="00D25594">
        <w:rPr>
          <w:rFonts w:ascii="Arial" w:hAnsi="Arial" w:cs="Arial"/>
          <w:sz w:val="32"/>
          <w:szCs w:val="32"/>
        </w:rPr>
        <w:t xml:space="preserve">si dhe </w:t>
      </w:r>
      <w:r w:rsidR="00041AC0" w:rsidRPr="00D25594">
        <w:rPr>
          <w:rFonts w:ascii="Arial" w:hAnsi="Arial" w:cs="Arial"/>
          <w:sz w:val="32"/>
          <w:szCs w:val="32"/>
        </w:rPr>
        <w:t xml:space="preserve">në zbatim </w:t>
      </w:r>
      <w:r w:rsidR="00B345BE">
        <w:rPr>
          <w:rFonts w:ascii="Arial" w:hAnsi="Arial" w:cs="Arial"/>
          <w:sz w:val="32"/>
          <w:szCs w:val="32"/>
        </w:rPr>
        <w:t>t</w:t>
      </w:r>
      <w:r w:rsidR="00041AC0" w:rsidRPr="00D25594">
        <w:rPr>
          <w:rFonts w:ascii="Arial" w:hAnsi="Arial" w:cs="Arial"/>
          <w:sz w:val="32"/>
          <w:szCs w:val="32"/>
        </w:rPr>
        <w:t xml:space="preserve">ë detyrimeve të Republikës së Shqipërisë në kuadër të Marrëveshjes së Stabilizimit e Asocimit (MSA). </w:t>
      </w:r>
    </w:p>
    <w:p w:rsidR="006B2297" w:rsidRPr="00D25594" w:rsidRDefault="00C344EC" w:rsidP="00D22689">
      <w:pPr>
        <w:spacing w:before="24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Për realizimin e misioni</w:t>
      </w:r>
      <w:r w:rsidR="006B2297" w:rsidRPr="00D25594">
        <w:rPr>
          <w:rFonts w:ascii="Arial" w:hAnsi="Arial" w:cs="Arial"/>
          <w:sz w:val="32"/>
          <w:szCs w:val="32"/>
        </w:rPr>
        <w:t xml:space="preserve">t të përcaktuar në ligj,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 xml:space="preserve">i i Konkurrencës përdor instrumentet ligjorë siç janë procedurat investigative dhe hetimore për të zbuluar dhe penalizuar praktikat </w:t>
      </w:r>
      <w:r w:rsidR="00B345BE">
        <w:rPr>
          <w:rFonts w:ascii="Arial" w:hAnsi="Arial" w:cs="Arial"/>
          <w:sz w:val="32"/>
          <w:szCs w:val="32"/>
        </w:rPr>
        <w:t>anti-konkurruese, të cilat</w:t>
      </w:r>
      <w:r w:rsidRPr="00D25594">
        <w:rPr>
          <w:rFonts w:ascii="Arial" w:hAnsi="Arial" w:cs="Arial"/>
          <w:sz w:val="32"/>
          <w:szCs w:val="32"/>
        </w:rPr>
        <w:t xml:space="preserve"> shfaqen në formën e</w:t>
      </w:r>
      <w:r w:rsidR="006B2297" w:rsidRPr="00D25594">
        <w:rPr>
          <w:rFonts w:ascii="Arial" w:hAnsi="Arial" w:cs="Arial"/>
          <w:sz w:val="32"/>
          <w:szCs w:val="32"/>
        </w:rPr>
        <w:t xml:space="preserve"> </w:t>
      </w:r>
      <w:r w:rsidRPr="00D25594">
        <w:rPr>
          <w:rFonts w:ascii="Arial" w:hAnsi="Arial" w:cs="Arial"/>
          <w:sz w:val="32"/>
          <w:szCs w:val="32"/>
        </w:rPr>
        <w:t>:</w:t>
      </w:r>
    </w:p>
    <w:p w:rsidR="006B2297" w:rsidRPr="00D25594" w:rsidRDefault="00C344EC" w:rsidP="006B229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marrëveshjeve të ndaluara për fiksimim e çmimeve, ndarjen e tregjeve, kufizimin apo kontrollin e prodhimit</w:t>
      </w:r>
      <w:r w:rsidR="00B345BE">
        <w:rPr>
          <w:rFonts w:ascii="Arial" w:hAnsi="Arial" w:cs="Arial"/>
          <w:sz w:val="32"/>
          <w:szCs w:val="32"/>
        </w:rPr>
        <w:t>, si dhe</w:t>
      </w:r>
      <w:r w:rsidRPr="00D25594">
        <w:rPr>
          <w:rFonts w:ascii="Arial" w:hAnsi="Arial" w:cs="Arial"/>
          <w:sz w:val="32"/>
          <w:szCs w:val="32"/>
        </w:rPr>
        <w:t xml:space="preserve">; </w:t>
      </w:r>
    </w:p>
    <w:p w:rsidR="006B2297" w:rsidRPr="00D25594" w:rsidRDefault="00C344EC" w:rsidP="006B229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të abuzimit me pozitën dominuese në formën e vendosjes së çmimeve të padrejta, kufizimin e prodhimit apo të shërbimit, vendosjen në pozita jo të barabarta të klientëve, apo vendosja e kushteve dhe detyrimeve shtesë në kontratë me palët e treta etj. </w:t>
      </w:r>
    </w:p>
    <w:p w:rsidR="006B2297" w:rsidRPr="00B345BE" w:rsidRDefault="006B2297" w:rsidP="00AE0C2F">
      <w:pPr>
        <w:spacing w:before="240"/>
        <w:jc w:val="both"/>
        <w:rPr>
          <w:rFonts w:ascii="Arial" w:hAnsi="Arial" w:cs="Arial"/>
          <w:sz w:val="32"/>
          <w:szCs w:val="32"/>
        </w:rPr>
      </w:pPr>
      <w:r w:rsidRPr="00B345BE">
        <w:rPr>
          <w:rFonts w:ascii="Arial" w:hAnsi="Arial" w:cs="Arial"/>
          <w:sz w:val="32"/>
          <w:szCs w:val="32"/>
        </w:rPr>
        <w:t xml:space="preserve">Institucioni </w:t>
      </w:r>
      <w:r w:rsidR="00C344EC" w:rsidRPr="00B345BE">
        <w:rPr>
          <w:rFonts w:ascii="Arial" w:hAnsi="Arial" w:cs="Arial"/>
          <w:sz w:val="32"/>
          <w:szCs w:val="32"/>
        </w:rPr>
        <w:t xml:space="preserve">i </w:t>
      </w:r>
      <w:r w:rsidRPr="00B345BE">
        <w:rPr>
          <w:rFonts w:ascii="Arial" w:hAnsi="Arial" w:cs="Arial"/>
          <w:sz w:val="32"/>
          <w:szCs w:val="32"/>
        </w:rPr>
        <w:t>k</w:t>
      </w:r>
      <w:r w:rsidR="00C344EC" w:rsidRPr="00B345BE">
        <w:rPr>
          <w:rFonts w:ascii="Arial" w:hAnsi="Arial" w:cs="Arial"/>
          <w:sz w:val="32"/>
          <w:szCs w:val="32"/>
        </w:rPr>
        <w:t xml:space="preserve">onkurrencës </w:t>
      </w:r>
      <w:r w:rsidRPr="00B345BE">
        <w:rPr>
          <w:rFonts w:ascii="Arial" w:hAnsi="Arial" w:cs="Arial"/>
          <w:sz w:val="32"/>
          <w:szCs w:val="32"/>
        </w:rPr>
        <w:t>realizon</w:t>
      </w:r>
      <w:r w:rsidR="00B345BE">
        <w:rPr>
          <w:rFonts w:ascii="Arial" w:hAnsi="Arial" w:cs="Arial"/>
          <w:sz w:val="32"/>
          <w:szCs w:val="32"/>
        </w:rPr>
        <w:t xml:space="preserve"> gjithashtu</w:t>
      </w:r>
      <w:r w:rsidRPr="00B345BE">
        <w:rPr>
          <w:rFonts w:ascii="Arial" w:hAnsi="Arial" w:cs="Arial"/>
          <w:sz w:val="32"/>
          <w:szCs w:val="32"/>
        </w:rPr>
        <w:t xml:space="preserve"> kontrollin mbi ndryshimet në strukturat e tregut nëpërmjet kontrollit</w:t>
      </w:r>
      <w:r w:rsidR="00C344EC" w:rsidRPr="00B345BE">
        <w:rPr>
          <w:rFonts w:ascii="Arial" w:hAnsi="Arial" w:cs="Arial"/>
          <w:sz w:val="32"/>
          <w:szCs w:val="32"/>
        </w:rPr>
        <w:t xml:space="preserve"> </w:t>
      </w:r>
      <w:r w:rsidRPr="00B345BE">
        <w:rPr>
          <w:rFonts w:ascii="Arial" w:hAnsi="Arial" w:cs="Arial"/>
          <w:sz w:val="32"/>
          <w:szCs w:val="32"/>
        </w:rPr>
        <w:t>të</w:t>
      </w:r>
      <w:r w:rsidR="00C344EC" w:rsidRPr="00B345BE">
        <w:rPr>
          <w:rFonts w:ascii="Arial" w:hAnsi="Arial" w:cs="Arial"/>
          <w:sz w:val="32"/>
          <w:szCs w:val="32"/>
        </w:rPr>
        <w:t xml:space="preserve"> përqendrimeve të ndërmarrjeve, të cilat përfshihen në transaksionet e shitblerjes së aksioneve midis tyre, për të mos </w:t>
      </w:r>
      <w:r w:rsidR="00C344EC" w:rsidRPr="00B345BE">
        <w:rPr>
          <w:rFonts w:ascii="Arial" w:hAnsi="Arial" w:cs="Arial"/>
          <w:sz w:val="32"/>
          <w:szCs w:val="32"/>
        </w:rPr>
        <w:lastRenderedPageBreak/>
        <w:t xml:space="preserve">lejuar krijimin ose forcimin e pozitës dominuese në tregjet përkatëse. </w:t>
      </w:r>
    </w:p>
    <w:p w:rsidR="00C344EC" w:rsidRPr="00D25594" w:rsidRDefault="00C344EC" w:rsidP="00C344EC">
      <w:pPr>
        <w:spacing w:before="24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Ligji “Për mbrojtjen e konkurrencës”</w:t>
      </w:r>
      <w:r w:rsidR="00B345BE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në të gjitha aspek</w:t>
      </w:r>
      <w:r w:rsidR="00B345BE">
        <w:rPr>
          <w:rFonts w:ascii="Arial" w:hAnsi="Arial" w:cs="Arial"/>
          <w:sz w:val="32"/>
          <w:szCs w:val="32"/>
        </w:rPr>
        <w:t>t</w:t>
      </w:r>
      <w:r w:rsidRPr="00D25594">
        <w:rPr>
          <w:rFonts w:ascii="Arial" w:hAnsi="Arial" w:cs="Arial"/>
          <w:sz w:val="32"/>
          <w:szCs w:val="32"/>
        </w:rPr>
        <w:t>et e tij</w:t>
      </w:r>
      <w:r w:rsidR="00B345BE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është i përafruar në një shkallë të gjerë me </w:t>
      </w:r>
      <w:r w:rsidRPr="00D25594">
        <w:rPr>
          <w:rFonts w:ascii="Arial" w:hAnsi="Arial" w:cs="Arial"/>
          <w:i/>
          <w:sz w:val="32"/>
          <w:szCs w:val="32"/>
        </w:rPr>
        <w:t>acquis-communitaire</w:t>
      </w:r>
      <w:r w:rsidRPr="00D25594">
        <w:rPr>
          <w:rFonts w:ascii="Arial" w:hAnsi="Arial" w:cs="Arial"/>
          <w:sz w:val="32"/>
          <w:szCs w:val="32"/>
        </w:rPr>
        <w:t xml:space="preserve">, jo vetëm në përmbajtje, por edhe në instrumentet </w:t>
      </w:r>
      <w:r w:rsidR="00B345BE">
        <w:rPr>
          <w:rFonts w:ascii="Arial" w:hAnsi="Arial" w:cs="Arial"/>
          <w:sz w:val="32"/>
          <w:szCs w:val="32"/>
        </w:rPr>
        <w:t>që përdoren për zbatimin</w:t>
      </w:r>
      <w:r w:rsidRPr="00D25594">
        <w:rPr>
          <w:rFonts w:ascii="Arial" w:hAnsi="Arial" w:cs="Arial"/>
          <w:sz w:val="32"/>
          <w:szCs w:val="32"/>
        </w:rPr>
        <w:t xml:space="preserve"> të tij. Këto instrumenta </w:t>
      </w:r>
      <w:r w:rsidR="00B345BE">
        <w:rPr>
          <w:rFonts w:ascii="Arial" w:hAnsi="Arial" w:cs="Arial"/>
          <w:sz w:val="32"/>
          <w:szCs w:val="32"/>
        </w:rPr>
        <w:t>synojn</w:t>
      </w:r>
      <w:r w:rsidR="0065704E">
        <w:rPr>
          <w:rFonts w:ascii="Arial" w:hAnsi="Arial" w:cs="Arial"/>
          <w:sz w:val="32"/>
          <w:szCs w:val="32"/>
        </w:rPr>
        <w:t>ë</w:t>
      </w:r>
      <w:r w:rsidR="00B345BE">
        <w:rPr>
          <w:rFonts w:ascii="Arial" w:hAnsi="Arial" w:cs="Arial"/>
          <w:sz w:val="32"/>
          <w:szCs w:val="32"/>
        </w:rPr>
        <w:t xml:space="preserve"> jo vet</w:t>
      </w:r>
      <w:r w:rsidR="0065704E">
        <w:rPr>
          <w:rFonts w:ascii="Arial" w:hAnsi="Arial" w:cs="Arial"/>
          <w:sz w:val="32"/>
          <w:szCs w:val="32"/>
        </w:rPr>
        <w:t>ë</w:t>
      </w:r>
      <w:r w:rsidR="00B345BE">
        <w:rPr>
          <w:rFonts w:ascii="Arial" w:hAnsi="Arial" w:cs="Arial"/>
          <w:sz w:val="32"/>
          <w:szCs w:val="32"/>
        </w:rPr>
        <w:t>m</w:t>
      </w:r>
      <w:r w:rsidRPr="00D25594">
        <w:rPr>
          <w:rFonts w:ascii="Arial" w:hAnsi="Arial" w:cs="Arial"/>
          <w:sz w:val="32"/>
          <w:szCs w:val="32"/>
        </w:rPr>
        <w:t xml:space="preserve"> vlerës</w:t>
      </w:r>
      <w:r w:rsidR="00B345BE">
        <w:rPr>
          <w:rFonts w:ascii="Arial" w:hAnsi="Arial" w:cs="Arial"/>
          <w:sz w:val="32"/>
          <w:szCs w:val="32"/>
        </w:rPr>
        <w:t>imin e sjelljes</w:t>
      </w:r>
      <w:r w:rsidRPr="00D25594">
        <w:rPr>
          <w:rFonts w:ascii="Arial" w:hAnsi="Arial" w:cs="Arial"/>
          <w:sz w:val="32"/>
          <w:szCs w:val="32"/>
        </w:rPr>
        <w:t xml:space="preserve"> </w:t>
      </w:r>
      <w:r w:rsidR="00ED1285">
        <w:rPr>
          <w:rFonts w:ascii="Arial" w:hAnsi="Arial" w:cs="Arial"/>
          <w:sz w:val="32"/>
          <w:szCs w:val="32"/>
        </w:rPr>
        <w:t>s</w:t>
      </w:r>
      <w:r w:rsidR="0065704E">
        <w:rPr>
          <w:rFonts w:ascii="Arial" w:hAnsi="Arial" w:cs="Arial"/>
          <w:sz w:val="32"/>
          <w:szCs w:val="32"/>
        </w:rPr>
        <w:t>ë</w:t>
      </w:r>
      <w:r w:rsidRPr="00D25594">
        <w:rPr>
          <w:rFonts w:ascii="Arial" w:hAnsi="Arial" w:cs="Arial"/>
          <w:sz w:val="32"/>
          <w:szCs w:val="32"/>
        </w:rPr>
        <w:t xml:space="preserve"> lojtarëve të tregut, por edhe për të parandaluar, promovuar e nxitur barazinë në treg nëpërmet vlerësimit dhe dhënies së rekomandimeve për aktet ligjore dhe nënligjore ekzituese</w:t>
      </w:r>
      <w:r w:rsidR="00ED1285">
        <w:rPr>
          <w:rFonts w:ascii="Arial" w:hAnsi="Arial" w:cs="Arial"/>
          <w:sz w:val="32"/>
          <w:szCs w:val="32"/>
        </w:rPr>
        <w:t>, si</w:t>
      </w:r>
      <w:r w:rsidRPr="00D25594">
        <w:rPr>
          <w:rFonts w:ascii="Arial" w:hAnsi="Arial" w:cs="Arial"/>
          <w:sz w:val="32"/>
          <w:szCs w:val="32"/>
        </w:rPr>
        <w:t xml:space="preserve"> dhe atyre që draftohen nga institucionet qëndrore</w:t>
      </w:r>
      <w:r w:rsidR="00ED1285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vendore dhe të enteve rregullator</w:t>
      </w:r>
      <w:r w:rsidR="00ED1285">
        <w:rPr>
          <w:rFonts w:ascii="Arial" w:hAnsi="Arial" w:cs="Arial"/>
          <w:sz w:val="32"/>
          <w:szCs w:val="32"/>
        </w:rPr>
        <w:t>e</w:t>
      </w:r>
      <w:r w:rsidRPr="00D25594">
        <w:rPr>
          <w:rFonts w:ascii="Arial" w:hAnsi="Arial" w:cs="Arial"/>
          <w:sz w:val="32"/>
          <w:szCs w:val="32"/>
        </w:rPr>
        <w:t xml:space="preserve">. Në mënyrë të veçantë, zbatimi me efiçiensë i ligjit, kërkon vlerësimin e atyre akteve </w:t>
      </w:r>
      <w:r w:rsidR="00ED1285">
        <w:rPr>
          <w:rFonts w:ascii="Arial" w:hAnsi="Arial" w:cs="Arial"/>
          <w:sz w:val="32"/>
          <w:szCs w:val="32"/>
        </w:rPr>
        <w:t>ligjore dhe nënligjore që lidhen</w:t>
      </w:r>
      <w:r w:rsidRPr="00D25594">
        <w:rPr>
          <w:rFonts w:ascii="Arial" w:hAnsi="Arial" w:cs="Arial"/>
          <w:sz w:val="32"/>
          <w:szCs w:val="32"/>
        </w:rPr>
        <w:t xml:space="preserve"> me kufizimet sasiore në treg, apo me dhënien e të drejtave ekskluzive apo të veçanta. </w:t>
      </w:r>
    </w:p>
    <w:p w:rsidR="006B2297" w:rsidRPr="00D25594" w:rsidRDefault="00C344EC" w:rsidP="0028457C">
      <w:pPr>
        <w:spacing w:before="24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Aktiviteti i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 xml:space="preserve">it të Konkurrencës në zbatim të </w:t>
      </w:r>
      <w:r w:rsidR="00D24499">
        <w:rPr>
          <w:rFonts w:ascii="Arial" w:hAnsi="Arial" w:cs="Arial"/>
          <w:sz w:val="32"/>
          <w:szCs w:val="32"/>
        </w:rPr>
        <w:t>L</w:t>
      </w:r>
      <w:r w:rsidRPr="00D25594">
        <w:rPr>
          <w:rFonts w:ascii="Arial" w:hAnsi="Arial" w:cs="Arial"/>
          <w:sz w:val="32"/>
          <w:szCs w:val="32"/>
        </w:rPr>
        <w:t>igjit synon ta bëjë tregun sa më funksional. Në këtë këndvështrim, mirëfunksionimi i tregjeve kërkon kujdesin si për mirëqënien e konsumatorëve</w:t>
      </w:r>
      <w:r w:rsidR="0028457C">
        <w:rPr>
          <w:rFonts w:ascii="Arial" w:hAnsi="Arial" w:cs="Arial"/>
          <w:sz w:val="32"/>
          <w:szCs w:val="32"/>
        </w:rPr>
        <w:t xml:space="preserve">, </w:t>
      </w:r>
      <w:r w:rsidRPr="00D25594">
        <w:rPr>
          <w:rFonts w:ascii="Arial" w:hAnsi="Arial" w:cs="Arial"/>
          <w:sz w:val="32"/>
          <w:szCs w:val="32"/>
        </w:rPr>
        <w:t>ashtu edhe për t’i bërë tregjet sa më konkurruese. Pikërisht kjo përbën filozofinë</w:t>
      </w:r>
      <w:r w:rsidR="00ED1285">
        <w:rPr>
          <w:rFonts w:ascii="Arial" w:hAnsi="Arial" w:cs="Arial"/>
          <w:sz w:val="32"/>
          <w:szCs w:val="32"/>
        </w:rPr>
        <w:t xml:space="preserve"> e</w:t>
      </w:r>
      <w:r w:rsidRPr="00D25594">
        <w:rPr>
          <w:rFonts w:ascii="Arial" w:hAnsi="Arial" w:cs="Arial"/>
          <w:sz w:val="32"/>
          <w:szCs w:val="32"/>
        </w:rPr>
        <w:t xml:space="preserve"> </w:t>
      </w:r>
      <w:r w:rsidR="00ED1285" w:rsidRPr="00D25594">
        <w:rPr>
          <w:rFonts w:ascii="Arial" w:hAnsi="Arial" w:cs="Arial"/>
          <w:sz w:val="32"/>
          <w:szCs w:val="32"/>
        </w:rPr>
        <w:t xml:space="preserve">vendimarrjes </w:t>
      </w:r>
      <w:r w:rsidRPr="00D25594">
        <w:rPr>
          <w:rFonts w:ascii="Arial" w:hAnsi="Arial" w:cs="Arial"/>
          <w:sz w:val="32"/>
          <w:szCs w:val="32"/>
        </w:rPr>
        <w:t>të Komisioni</w:t>
      </w:r>
      <w:r w:rsidR="00ED1285">
        <w:rPr>
          <w:rFonts w:ascii="Arial" w:hAnsi="Arial" w:cs="Arial"/>
          <w:sz w:val="32"/>
          <w:szCs w:val="32"/>
        </w:rPr>
        <w:t>t</w:t>
      </w:r>
      <w:r w:rsidRPr="00D25594">
        <w:rPr>
          <w:rFonts w:ascii="Arial" w:hAnsi="Arial" w:cs="Arial"/>
          <w:sz w:val="32"/>
          <w:szCs w:val="32"/>
        </w:rPr>
        <w:t xml:space="preserve"> </w:t>
      </w:r>
      <w:r w:rsidR="00ED1285">
        <w:rPr>
          <w:rFonts w:ascii="Arial" w:hAnsi="Arial" w:cs="Arial"/>
          <w:sz w:val="32"/>
          <w:szCs w:val="32"/>
        </w:rPr>
        <w:t>t</w:t>
      </w:r>
      <w:r w:rsidR="0065704E">
        <w:rPr>
          <w:rFonts w:ascii="Arial" w:hAnsi="Arial" w:cs="Arial"/>
          <w:sz w:val="32"/>
          <w:szCs w:val="32"/>
        </w:rPr>
        <w:t>ë</w:t>
      </w:r>
      <w:r w:rsidRPr="00D25594">
        <w:rPr>
          <w:rFonts w:ascii="Arial" w:hAnsi="Arial" w:cs="Arial"/>
          <w:sz w:val="32"/>
          <w:szCs w:val="32"/>
        </w:rPr>
        <w:t xml:space="preserve"> Konkurrencës. </w:t>
      </w:r>
    </w:p>
    <w:p w:rsidR="006B2297" w:rsidRPr="00D25594" w:rsidRDefault="006B2297" w:rsidP="00C344EC">
      <w:pPr>
        <w:jc w:val="both"/>
        <w:rPr>
          <w:rFonts w:ascii="Arial" w:hAnsi="Arial" w:cs="Arial"/>
          <w:sz w:val="32"/>
          <w:szCs w:val="32"/>
        </w:rPr>
      </w:pPr>
    </w:p>
    <w:p w:rsidR="00C344EC" w:rsidRPr="00D25594" w:rsidRDefault="0047629A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Konkurrenca është një vlerë e tregut dhe e shoqërisë në përgjithësi, prandaj</w:t>
      </w:r>
      <w:r w:rsidR="00ED1285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</w:t>
      </w:r>
      <w:r w:rsidR="006B2297" w:rsidRPr="00D25594">
        <w:rPr>
          <w:rFonts w:ascii="Arial" w:hAnsi="Arial" w:cs="Arial"/>
          <w:sz w:val="32"/>
          <w:szCs w:val="32"/>
        </w:rPr>
        <w:t>për të patur një konkurrencë reale  dhe të ndershme në treg, kërkohet zbatimi me rigorozitet i të gjithë kuadrit ligjor për pronësinë industriale, mbrojtjen e konsumatorit, konkurrencën e pandershme në bazë të kodit civil, legjislacionin tatimor e doganor,etj., duke garantuar trajtimin e barabartë dhe jodiskriminues të lojtarëve të tregut.</w:t>
      </w:r>
    </w:p>
    <w:p w:rsidR="00C344EC" w:rsidRPr="00D25594" w:rsidRDefault="00C344EC" w:rsidP="00C344EC">
      <w:pPr>
        <w:spacing w:before="24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Një nga karakteristikat e politikës dhe ligjit të konkurrencës është gjithëpërfshirja, e cila përbën një nga aspektet e përherëshme të veprimtarisë së institucionit të konkurrencës që është realizuar nëpërmjet bashkëpunimit të vazhdueshëm me  </w:t>
      </w:r>
      <w:r w:rsidR="00D24499">
        <w:rPr>
          <w:rFonts w:ascii="Arial" w:hAnsi="Arial" w:cs="Arial"/>
          <w:sz w:val="32"/>
          <w:szCs w:val="32"/>
        </w:rPr>
        <w:t>Kuvendin</w:t>
      </w:r>
      <w:r w:rsidRPr="00D25594">
        <w:rPr>
          <w:rFonts w:ascii="Arial" w:hAnsi="Arial" w:cs="Arial"/>
          <w:sz w:val="32"/>
          <w:szCs w:val="32"/>
        </w:rPr>
        <w:t xml:space="preserve">, </w:t>
      </w:r>
      <w:r w:rsidRPr="00D25594">
        <w:rPr>
          <w:rFonts w:ascii="Arial" w:hAnsi="Arial" w:cs="Arial"/>
          <w:sz w:val="32"/>
          <w:szCs w:val="32"/>
        </w:rPr>
        <w:lastRenderedPageBreak/>
        <w:t>institucionet qëndrore dhe vendore, entet rregullatore, bizneset e organizatat e tyre, si dhe shoqatat e mbrojtjes së konsumatorëve.</w:t>
      </w:r>
    </w:p>
    <w:p w:rsidR="006B2297" w:rsidRPr="00D25594" w:rsidRDefault="006B2297" w:rsidP="00C344EC">
      <w:pPr>
        <w:rPr>
          <w:rFonts w:ascii="Arial" w:hAnsi="Arial" w:cs="Arial"/>
          <w:sz w:val="32"/>
          <w:szCs w:val="32"/>
        </w:rPr>
      </w:pP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b/>
          <w:sz w:val="32"/>
          <w:szCs w:val="32"/>
        </w:rPr>
        <w:t>Viti 2013</w:t>
      </w:r>
      <w:r w:rsidRPr="00D25594">
        <w:rPr>
          <w:rFonts w:ascii="Arial" w:hAnsi="Arial" w:cs="Arial"/>
          <w:sz w:val="32"/>
          <w:szCs w:val="32"/>
        </w:rPr>
        <w:t xml:space="preserve"> shënon 10 vjet eksperiencë në zbatimin </w:t>
      </w:r>
      <w:r w:rsidR="00ED1285">
        <w:rPr>
          <w:rFonts w:ascii="Arial" w:hAnsi="Arial" w:cs="Arial"/>
          <w:sz w:val="32"/>
          <w:szCs w:val="32"/>
        </w:rPr>
        <w:t>e</w:t>
      </w:r>
      <w:r w:rsidRPr="00D25594">
        <w:rPr>
          <w:rFonts w:ascii="Arial" w:hAnsi="Arial" w:cs="Arial"/>
          <w:sz w:val="32"/>
          <w:szCs w:val="32"/>
        </w:rPr>
        <w:t xml:space="preserve"> ligjit shqiptar të konkurrencës.</w:t>
      </w:r>
      <w:r w:rsidR="006B2297" w:rsidRPr="00D25594">
        <w:rPr>
          <w:rFonts w:ascii="Arial" w:hAnsi="Arial" w:cs="Arial"/>
          <w:sz w:val="32"/>
          <w:szCs w:val="32"/>
        </w:rPr>
        <w:t xml:space="preserve"> </w:t>
      </w:r>
      <w:r w:rsidRPr="00D25594">
        <w:rPr>
          <w:rFonts w:ascii="Arial" w:hAnsi="Arial" w:cs="Arial"/>
          <w:sz w:val="32"/>
          <w:szCs w:val="32"/>
        </w:rPr>
        <w:t xml:space="preserve">Këto eksperienca kanë mundësuar rritjen dhe konsolidimin e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>it të Konkurrencës</w:t>
      </w:r>
      <w:r w:rsidR="0047629A" w:rsidRPr="00D25594">
        <w:rPr>
          <w:rFonts w:ascii="Arial" w:hAnsi="Arial" w:cs="Arial"/>
          <w:sz w:val="32"/>
          <w:szCs w:val="32"/>
        </w:rPr>
        <w:t>, si mbikëqyrësi kryesor i konkurrencës në treg, nëpërmjet përmirësimit të vazhdueshëm</w:t>
      </w:r>
      <w:r w:rsidRPr="00D25594">
        <w:rPr>
          <w:rFonts w:ascii="Arial" w:hAnsi="Arial" w:cs="Arial"/>
          <w:sz w:val="32"/>
          <w:szCs w:val="32"/>
        </w:rPr>
        <w:t xml:space="preserve">.  </w:t>
      </w: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</w:p>
    <w:p w:rsidR="0047629A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Për realizimin e aktivitetit gjatë vitit të kaluar, institucioni i konkurrencës është mbështetur në rezolutën e Kuvendit</w:t>
      </w:r>
      <w:r w:rsidR="0047629A" w:rsidRPr="00D25594">
        <w:rPr>
          <w:rFonts w:ascii="Arial" w:hAnsi="Arial" w:cs="Arial"/>
          <w:sz w:val="32"/>
          <w:szCs w:val="32"/>
        </w:rPr>
        <w:t xml:space="preserve"> të Shqipërisë</w:t>
      </w:r>
      <w:r w:rsidRPr="00D25594">
        <w:rPr>
          <w:rFonts w:ascii="Arial" w:hAnsi="Arial" w:cs="Arial"/>
          <w:sz w:val="32"/>
          <w:szCs w:val="32"/>
        </w:rPr>
        <w:t xml:space="preserve"> </w:t>
      </w:r>
      <w:r w:rsidR="0047629A" w:rsidRPr="00D25594">
        <w:rPr>
          <w:rFonts w:ascii="Arial" w:hAnsi="Arial" w:cs="Arial"/>
          <w:sz w:val="32"/>
          <w:szCs w:val="32"/>
        </w:rPr>
        <w:t>dhe Raportin e P</w:t>
      </w:r>
      <w:r w:rsidRPr="00D25594">
        <w:rPr>
          <w:rFonts w:ascii="Arial" w:hAnsi="Arial" w:cs="Arial"/>
          <w:sz w:val="32"/>
          <w:szCs w:val="32"/>
        </w:rPr>
        <w:t xml:space="preserve">rogresit të Komisionit Europian, </w:t>
      </w:r>
      <w:r w:rsidR="0047629A" w:rsidRPr="00D25594">
        <w:rPr>
          <w:rFonts w:ascii="Arial" w:hAnsi="Arial" w:cs="Arial"/>
          <w:sz w:val="32"/>
          <w:szCs w:val="32"/>
        </w:rPr>
        <w:t>n</w:t>
      </w:r>
      <w:r w:rsidRPr="00D25594">
        <w:rPr>
          <w:rFonts w:ascii="Arial" w:hAnsi="Arial" w:cs="Arial"/>
          <w:sz w:val="32"/>
          <w:szCs w:val="32"/>
        </w:rPr>
        <w:t xml:space="preserve">ë zbatim të ligjit bazë dhe legjislacionit dytësor.  </w:t>
      </w:r>
    </w:p>
    <w:p w:rsidR="0047629A" w:rsidRPr="00D25594" w:rsidRDefault="0047629A" w:rsidP="00C344EC">
      <w:pPr>
        <w:jc w:val="both"/>
        <w:rPr>
          <w:rFonts w:ascii="Arial" w:hAnsi="Arial" w:cs="Arial"/>
          <w:sz w:val="32"/>
          <w:szCs w:val="32"/>
        </w:rPr>
      </w:pP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Forcimi i zbatimit të ligjit</w:t>
      </w:r>
      <w:r w:rsidR="0047629A" w:rsidRPr="00D25594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nëpërmjet përdorimit të instrumentave</w:t>
      </w:r>
      <w:r w:rsidR="00ED1285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e rritjes së efiçensës së ndërhyrjes së institucionit të konkurrencës</w:t>
      </w:r>
      <w:r w:rsidR="00ED1285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në mbrojtje të lojës së lirë të aktorëve të tregut, ka qënë objektivi i aktivitetit të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>it të Konkurrencës gjatë vitit 2013.</w:t>
      </w:r>
    </w:p>
    <w:p w:rsidR="00DA56BE" w:rsidRPr="00D25594" w:rsidRDefault="00C344EC" w:rsidP="00C344EC">
      <w:pPr>
        <w:spacing w:before="24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b/>
          <w:sz w:val="32"/>
          <w:szCs w:val="32"/>
        </w:rPr>
        <w:t xml:space="preserve">Veçoria </w:t>
      </w:r>
      <w:r w:rsidR="0065704E">
        <w:rPr>
          <w:rFonts w:ascii="Arial" w:hAnsi="Arial" w:cs="Arial"/>
          <w:sz w:val="32"/>
          <w:szCs w:val="32"/>
        </w:rPr>
        <w:t xml:space="preserve">e veprimtarisë së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 xml:space="preserve">it gjatë vitit të kaluar është </w:t>
      </w:r>
      <w:r w:rsidR="0047629A" w:rsidRPr="00D25594">
        <w:rPr>
          <w:rFonts w:ascii="Arial" w:hAnsi="Arial" w:cs="Arial"/>
          <w:sz w:val="32"/>
          <w:szCs w:val="32"/>
        </w:rPr>
        <w:t>se</w:t>
      </w:r>
      <w:r w:rsidR="0065704E">
        <w:rPr>
          <w:rFonts w:ascii="Arial" w:hAnsi="Arial" w:cs="Arial"/>
          <w:sz w:val="32"/>
          <w:szCs w:val="32"/>
        </w:rPr>
        <w:t>,</w:t>
      </w:r>
      <w:r w:rsidR="0047629A" w:rsidRPr="00D25594">
        <w:rPr>
          <w:rFonts w:ascii="Arial" w:hAnsi="Arial" w:cs="Arial"/>
          <w:sz w:val="32"/>
          <w:szCs w:val="32"/>
        </w:rPr>
        <w:t xml:space="preserve"> pothuajse t</w:t>
      </w:r>
      <w:r w:rsidR="00DA56BE" w:rsidRPr="00D25594">
        <w:rPr>
          <w:rFonts w:ascii="Arial" w:hAnsi="Arial" w:cs="Arial"/>
          <w:sz w:val="32"/>
          <w:szCs w:val="32"/>
        </w:rPr>
        <w:t>ë</w:t>
      </w:r>
      <w:r w:rsidR="0047629A" w:rsidRPr="00D25594">
        <w:rPr>
          <w:rFonts w:ascii="Arial" w:hAnsi="Arial" w:cs="Arial"/>
          <w:sz w:val="32"/>
          <w:szCs w:val="32"/>
        </w:rPr>
        <w:t xml:space="preserve"> gjitha ç</w:t>
      </w:r>
      <w:r w:rsidR="00DA56BE" w:rsidRPr="00D25594">
        <w:rPr>
          <w:rFonts w:ascii="Arial" w:hAnsi="Arial" w:cs="Arial"/>
          <w:sz w:val="32"/>
          <w:szCs w:val="32"/>
        </w:rPr>
        <w:t>ë</w:t>
      </w:r>
      <w:r w:rsidR="0047629A" w:rsidRPr="00D25594">
        <w:rPr>
          <w:rFonts w:ascii="Arial" w:hAnsi="Arial" w:cs="Arial"/>
          <w:sz w:val="32"/>
          <w:szCs w:val="32"/>
        </w:rPr>
        <w:t>shtjet e trajtuar jan</w:t>
      </w:r>
      <w:r w:rsidR="00DA56BE" w:rsidRPr="00D25594">
        <w:rPr>
          <w:rFonts w:ascii="Arial" w:hAnsi="Arial" w:cs="Arial"/>
          <w:sz w:val="32"/>
          <w:szCs w:val="32"/>
        </w:rPr>
        <w:t>ë</w:t>
      </w:r>
      <w:r w:rsidR="0047629A" w:rsidRPr="00D25594">
        <w:rPr>
          <w:rFonts w:ascii="Arial" w:hAnsi="Arial" w:cs="Arial"/>
          <w:sz w:val="32"/>
          <w:szCs w:val="32"/>
        </w:rPr>
        <w:t xml:space="preserve"> bazuar n</w:t>
      </w:r>
      <w:r w:rsidR="00DA56BE" w:rsidRPr="00D25594">
        <w:rPr>
          <w:rFonts w:ascii="Arial" w:hAnsi="Arial" w:cs="Arial"/>
          <w:sz w:val="32"/>
          <w:szCs w:val="32"/>
        </w:rPr>
        <w:t>ë</w:t>
      </w:r>
      <w:r w:rsidR="0047629A" w:rsidRPr="00D25594">
        <w:rPr>
          <w:rFonts w:ascii="Arial" w:hAnsi="Arial" w:cs="Arial"/>
          <w:sz w:val="32"/>
          <w:szCs w:val="32"/>
        </w:rPr>
        <w:t xml:space="preserve"> ankesat, t</w:t>
      </w:r>
      <w:r w:rsidR="00DA56BE" w:rsidRPr="00D25594">
        <w:rPr>
          <w:rFonts w:ascii="Arial" w:hAnsi="Arial" w:cs="Arial"/>
          <w:sz w:val="32"/>
          <w:szCs w:val="32"/>
        </w:rPr>
        <w:t>ë</w:t>
      </w:r>
      <w:r w:rsidR="0047629A" w:rsidRPr="00D25594">
        <w:rPr>
          <w:rFonts w:ascii="Arial" w:hAnsi="Arial" w:cs="Arial"/>
          <w:sz w:val="32"/>
          <w:szCs w:val="32"/>
        </w:rPr>
        <w:t xml:space="preserve"> cilat </w:t>
      </w:r>
      <w:r w:rsidRPr="00D25594">
        <w:rPr>
          <w:rFonts w:ascii="Arial" w:hAnsi="Arial" w:cs="Arial"/>
          <w:sz w:val="32"/>
          <w:szCs w:val="32"/>
        </w:rPr>
        <w:t>jo vetëm</w:t>
      </w:r>
      <w:r w:rsidR="0047629A" w:rsidRPr="00D25594">
        <w:rPr>
          <w:rFonts w:ascii="Arial" w:hAnsi="Arial" w:cs="Arial"/>
          <w:sz w:val="32"/>
          <w:szCs w:val="32"/>
        </w:rPr>
        <w:t xml:space="preserve"> jan</w:t>
      </w:r>
      <w:r w:rsidR="00DA56BE" w:rsidRPr="00D25594">
        <w:rPr>
          <w:rFonts w:ascii="Arial" w:hAnsi="Arial" w:cs="Arial"/>
          <w:sz w:val="32"/>
          <w:szCs w:val="32"/>
        </w:rPr>
        <w:t>ë</w:t>
      </w:r>
      <w:r w:rsidR="0047629A" w:rsidRPr="00D25594">
        <w:rPr>
          <w:rFonts w:ascii="Arial" w:hAnsi="Arial" w:cs="Arial"/>
          <w:sz w:val="32"/>
          <w:szCs w:val="32"/>
        </w:rPr>
        <w:t xml:space="preserve"> rritur n</w:t>
      </w:r>
      <w:r w:rsidR="00DA56BE" w:rsidRPr="00D25594">
        <w:rPr>
          <w:rFonts w:ascii="Arial" w:hAnsi="Arial" w:cs="Arial"/>
          <w:sz w:val="32"/>
          <w:szCs w:val="32"/>
        </w:rPr>
        <w:t>ë</w:t>
      </w:r>
      <w:r w:rsidR="0047629A" w:rsidRPr="00D25594">
        <w:rPr>
          <w:rFonts w:ascii="Arial" w:hAnsi="Arial" w:cs="Arial"/>
          <w:sz w:val="32"/>
          <w:szCs w:val="32"/>
        </w:rPr>
        <w:t xml:space="preserve"> num</w:t>
      </w:r>
      <w:r w:rsidR="00DA56BE" w:rsidRPr="00D25594">
        <w:rPr>
          <w:rFonts w:ascii="Arial" w:hAnsi="Arial" w:cs="Arial"/>
          <w:sz w:val="32"/>
          <w:szCs w:val="32"/>
        </w:rPr>
        <w:t>ë</w:t>
      </w:r>
      <w:r w:rsidR="0047629A" w:rsidRPr="00D25594">
        <w:rPr>
          <w:rFonts w:ascii="Arial" w:hAnsi="Arial" w:cs="Arial"/>
          <w:sz w:val="32"/>
          <w:szCs w:val="32"/>
        </w:rPr>
        <w:t>r</w:t>
      </w:r>
      <w:r w:rsidRPr="00D25594">
        <w:rPr>
          <w:rFonts w:ascii="Arial" w:hAnsi="Arial" w:cs="Arial"/>
          <w:sz w:val="32"/>
          <w:szCs w:val="32"/>
        </w:rPr>
        <w:t xml:space="preserve">, por </w:t>
      </w:r>
      <w:r w:rsidR="00DA56BE" w:rsidRPr="00D25594">
        <w:rPr>
          <w:rFonts w:ascii="Arial" w:hAnsi="Arial" w:cs="Arial"/>
          <w:sz w:val="32"/>
          <w:szCs w:val="32"/>
        </w:rPr>
        <w:t>janë përmirësuar cilësisht duke u rritur</w:t>
      </w:r>
      <w:r w:rsidRPr="00D25594">
        <w:rPr>
          <w:rFonts w:ascii="Arial" w:hAnsi="Arial" w:cs="Arial"/>
          <w:sz w:val="32"/>
          <w:szCs w:val="32"/>
        </w:rPr>
        <w:t xml:space="preserve"> numri </w:t>
      </w:r>
      <w:r w:rsidR="00DA56BE" w:rsidRPr="00D25594">
        <w:rPr>
          <w:rFonts w:ascii="Arial" w:hAnsi="Arial" w:cs="Arial"/>
          <w:sz w:val="32"/>
          <w:szCs w:val="32"/>
        </w:rPr>
        <w:t>i</w:t>
      </w:r>
      <w:r w:rsidRPr="00D25594">
        <w:rPr>
          <w:rFonts w:ascii="Arial" w:hAnsi="Arial" w:cs="Arial"/>
          <w:sz w:val="32"/>
          <w:szCs w:val="32"/>
        </w:rPr>
        <w:t xml:space="preserve"> atyre që i adresohen Ligjit “Për mbrojtjen e konkurrencës”. </w:t>
      </w:r>
    </w:p>
    <w:p w:rsidR="00DA56BE" w:rsidRPr="00D25594" w:rsidRDefault="00C344EC" w:rsidP="00C344EC">
      <w:pPr>
        <w:spacing w:before="24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Ky fakt është një tregues i rritjes së kulturës së biznesit mbi ligjin e konkurrecës dhe i rritjes së besimit</w:t>
      </w:r>
      <w:r w:rsidR="0065704E">
        <w:rPr>
          <w:rFonts w:ascii="Arial" w:hAnsi="Arial" w:cs="Arial"/>
          <w:sz w:val="32"/>
          <w:szCs w:val="32"/>
        </w:rPr>
        <w:t xml:space="preserve"> </w:t>
      </w:r>
      <w:r w:rsidR="00DA56BE" w:rsidRPr="00D25594">
        <w:rPr>
          <w:rFonts w:ascii="Arial" w:hAnsi="Arial" w:cs="Arial"/>
          <w:sz w:val="32"/>
          <w:szCs w:val="32"/>
        </w:rPr>
        <w:t>ndaj institucionit t</w:t>
      </w:r>
      <w:r w:rsidR="00265793" w:rsidRPr="00D25594">
        <w:rPr>
          <w:rFonts w:ascii="Arial" w:hAnsi="Arial" w:cs="Arial"/>
          <w:sz w:val="32"/>
          <w:szCs w:val="32"/>
        </w:rPr>
        <w:t>ë</w:t>
      </w:r>
      <w:r w:rsidR="00DA56BE" w:rsidRPr="00D25594">
        <w:rPr>
          <w:rFonts w:ascii="Arial" w:hAnsi="Arial" w:cs="Arial"/>
          <w:sz w:val="32"/>
          <w:szCs w:val="32"/>
        </w:rPr>
        <w:t xml:space="preserve"> konkurrenc</w:t>
      </w:r>
      <w:r w:rsidR="00265793" w:rsidRPr="00D25594">
        <w:rPr>
          <w:rFonts w:ascii="Arial" w:hAnsi="Arial" w:cs="Arial"/>
          <w:sz w:val="32"/>
          <w:szCs w:val="32"/>
        </w:rPr>
        <w:t>ë</w:t>
      </w:r>
      <w:r w:rsidR="00DA56BE" w:rsidRPr="00D25594">
        <w:rPr>
          <w:rFonts w:ascii="Arial" w:hAnsi="Arial" w:cs="Arial"/>
          <w:sz w:val="32"/>
          <w:szCs w:val="32"/>
        </w:rPr>
        <w:t>s</w:t>
      </w:r>
      <w:r w:rsidRPr="00D25594">
        <w:rPr>
          <w:rFonts w:ascii="Arial" w:hAnsi="Arial" w:cs="Arial"/>
          <w:sz w:val="32"/>
          <w:szCs w:val="32"/>
        </w:rPr>
        <w:t xml:space="preserve">, por nga ana tjetër përbën edhe një nga sfidat për trajtimin e shpejtë e me profesionalizëm nga specialistët e </w:t>
      </w:r>
      <w:r w:rsidR="00DF04E8">
        <w:rPr>
          <w:rFonts w:ascii="Arial" w:hAnsi="Arial" w:cs="Arial"/>
          <w:sz w:val="32"/>
          <w:szCs w:val="32"/>
        </w:rPr>
        <w:t>Autoritet</w:t>
      </w:r>
      <w:r w:rsidR="0065704E">
        <w:rPr>
          <w:rFonts w:ascii="Arial" w:hAnsi="Arial" w:cs="Arial"/>
          <w:sz w:val="32"/>
          <w:szCs w:val="32"/>
        </w:rPr>
        <w:t>it</w:t>
      </w:r>
      <w:r w:rsidRPr="00D25594">
        <w:rPr>
          <w:rFonts w:ascii="Arial" w:hAnsi="Arial" w:cs="Arial"/>
          <w:sz w:val="32"/>
          <w:szCs w:val="32"/>
        </w:rPr>
        <w:t>, si dhe ruajtja e konfidencialitetit</w:t>
      </w:r>
      <w:r w:rsidR="0065704E">
        <w:rPr>
          <w:rFonts w:ascii="Arial" w:hAnsi="Arial" w:cs="Arial"/>
          <w:sz w:val="32"/>
          <w:szCs w:val="32"/>
        </w:rPr>
        <w:t xml:space="preserve"> të ankimuesit</w:t>
      </w:r>
      <w:r w:rsidRPr="00D25594">
        <w:rPr>
          <w:rFonts w:ascii="Arial" w:hAnsi="Arial" w:cs="Arial"/>
          <w:sz w:val="32"/>
          <w:szCs w:val="32"/>
        </w:rPr>
        <w:t xml:space="preserve">. </w:t>
      </w:r>
    </w:p>
    <w:p w:rsidR="00C344EC" w:rsidRPr="00D25594" w:rsidRDefault="00C344EC" w:rsidP="00C344EC">
      <w:pPr>
        <w:spacing w:before="24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Gjatë vitit 2013</w:t>
      </w:r>
      <w:r w:rsidR="0065704E">
        <w:rPr>
          <w:rFonts w:ascii="Arial" w:hAnsi="Arial" w:cs="Arial"/>
          <w:sz w:val="32"/>
          <w:szCs w:val="32"/>
        </w:rPr>
        <w:t xml:space="preserve">,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 xml:space="preserve">it i janë adresuar 16 ankesa nga të cilat: 4 (katër) ankesa janë për marrëveshje të ndaluara apo sjellje të bashkërenduara; 8 (tetë) ankesa janë për abuzimin me pozitën dominuese të një apo disa ndërmarrjeve; 1(një) ankesë për revokimin e vendimit te Komisionit si dhe 3 (tre) ankesa që nuk </w:t>
      </w:r>
      <w:r w:rsidRPr="00D25594">
        <w:rPr>
          <w:rFonts w:ascii="Arial" w:hAnsi="Arial" w:cs="Arial"/>
          <w:sz w:val="32"/>
          <w:szCs w:val="32"/>
        </w:rPr>
        <w:lastRenderedPageBreak/>
        <w:t>ishin në përputhje me objektin e ligjit “Për mbrojtjen e konkurrencës”.</w:t>
      </w: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</w:p>
    <w:p w:rsidR="00265793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Objekt i ankesave të n</w:t>
      </w:r>
      <w:r w:rsidR="0065704E">
        <w:rPr>
          <w:rFonts w:ascii="Arial" w:hAnsi="Arial" w:cs="Arial"/>
          <w:sz w:val="32"/>
          <w:szCs w:val="32"/>
        </w:rPr>
        <w:t>dërmarrjeve kanë qënë kryesisht</w:t>
      </w:r>
      <w:r w:rsidR="00265793" w:rsidRPr="00D25594">
        <w:rPr>
          <w:rFonts w:ascii="Arial" w:hAnsi="Arial" w:cs="Arial"/>
          <w:sz w:val="32"/>
          <w:szCs w:val="32"/>
        </w:rPr>
        <w:t>:</w:t>
      </w:r>
    </w:p>
    <w:p w:rsidR="00265793" w:rsidRPr="00D25594" w:rsidRDefault="0065704E" w:rsidP="0026579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tregu</w:t>
      </w:r>
      <w:r w:rsidR="00C344EC" w:rsidRPr="00D255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</w:t>
      </w:r>
      <w:r w:rsidR="00C344EC" w:rsidRPr="00D25594">
        <w:rPr>
          <w:rFonts w:ascii="Arial" w:hAnsi="Arial" w:cs="Arial"/>
          <w:sz w:val="32"/>
          <w:szCs w:val="32"/>
        </w:rPr>
        <w:t xml:space="preserve"> ngarkim-shkarkimit në rrugë detare të gazit të lëngshëm, </w:t>
      </w:r>
    </w:p>
    <w:p w:rsidR="00265793" w:rsidRPr="00D25594" w:rsidRDefault="0065704E" w:rsidP="0026579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tregu i</w:t>
      </w:r>
      <w:r w:rsidR="00C344EC" w:rsidRPr="00D25594">
        <w:rPr>
          <w:rFonts w:ascii="Arial" w:hAnsi="Arial" w:cs="Arial"/>
          <w:sz w:val="32"/>
          <w:szCs w:val="32"/>
        </w:rPr>
        <w:t xml:space="preserve"> komunikimeve elektronike, </w:t>
      </w:r>
    </w:p>
    <w:p w:rsidR="00265793" w:rsidRPr="00D25594" w:rsidRDefault="0065704E" w:rsidP="0026579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tregu</w:t>
      </w:r>
      <w:r w:rsidR="00C344EC" w:rsidRPr="00D255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</w:t>
      </w:r>
      <w:r w:rsidR="00C344EC" w:rsidRPr="00D25594">
        <w:rPr>
          <w:rFonts w:ascii="Arial" w:hAnsi="Arial" w:cs="Arial"/>
          <w:sz w:val="32"/>
          <w:szCs w:val="32"/>
        </w:rPr>
        <w:t xml:space="preserve"> energjisë elektrike, </w:t>
      </w:r>
    </w:p>
    <w:p w:rsidR="00265793" w:rsidRPr="00D25594" w:rsidRDefault="0065704E" w:rsidP="0026579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tregu</w:t>
      </w:r>
      <w:r w:rsidR="00C344EC" w:rsidRPr="00D255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</w:t>
      </w:r>
      <w:r w:rsidR="00C344EC" w:rsidRPr="00D25594">
        <w:rPr>
          <w:rFonts w:ascii="Arial" w:hAnsi="Arial" w:cs="Arial"/>
          <w:sz w:val="32"/>
          <w:szCs w:val="32"/>
        </w:rPr>
        <w:t xml:space="preserve"> prokurimeve publike, </w:t>
      </w:r>
    </w:p>
    <w:p w:rsidR="00265793" w:rsidRPr="00D25594" w:rsidRDefault="0065704E" w:rsidP="0026579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tregu</w:t>
      </w:r>
      <w:r w:rsidR="00C344EC" w:rsidRPr="00D255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</w:t>
      </w:r>
      <w:r w:rsidR="00C344EC" w:rsidRPr="00D25594">
        <w:rPr>
          <w:rFonts w:ascii="Arial" w:hAnsi="Arial" w:cs="Arial"/>
          <w:sz w:val="32"/>
          <w:szCs w:val="32"/>
        </w:rPr>
        <w:t xml:space="preserve"> sigurimeve, </w:t>
      </w:r>
    </w:p>
    <w:p w:rsidR="00265793" w:rsidRPr="00D25594" w:rsidRDefault="0065704E" w:rsidP="0026579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tregu</w:t>
      </w:r>
      <w:r w:rsidR="00C344EC" w:rsidRPr="00D255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</w:t>
      </w:r>
      <w:r w:rsidR="00C344EC" w:rsidRPr="00D25594">
        <w:rPr>
          <w:rFonts w:ascii="Arial" w:hAnsi="Arial" w:cs="Arial"/>
          <w:sz w:val="32"/>
          <w:szCs w:val="32"/>
        </w:rPr>
        <w:t xml:space="preserve"> transportit urban të qytetit të Tiranës, </w:t>
      </w:r>
    </w:p>
    <w:p w:rsidR="00265793" w:rsidRPr="00D25594" w:rsidRDefault="0065704E" w:rsidP="00C344E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Këto ankesa kan</w:t>
      </w:r>
      <w:r w:rsidR="00265793" w:rsidRPr="00D25594">
        <w:rPr>
          <w:rFonts w:ascii="Arial" w:hAnsi="Arial" w:cs="Arial"/>
          <w:sz w:val="32"/>
          <w:szCs w:val="32"/>
        </w:rPr>
        <w:t xml:space="preserve">ë adresuar </w:t>
      </w:r>
      <w:r w:rsidR="00C344EC" w:rsidRPr="00D25594">
        <w:rPr>
          <w:rFonts w:ascii="Arial" w:hAnsi="Arial" w:cs="Arial"/>
          <w:sz w:val="32"/>
          <w:szCs w:val="32"/>
        </w:rPr>
        <w:t xml:space="preserve">shqetësimet  e operatorëve për kufizime të mundshme të konkurrencës të shkaktuara nga operatorët apo grupe operatorësh të tjerë. </w:t>
      </w:r>
    </w:p>
    <w:p w:rsidR="0065704E" w:rsidRDefault="0065704E" w:rsidP="00C344EC">
      <w:pPr>
        <w:jc w:val="both"/>
        <w:rPr>
          <w:rFonts w:ascii="Arial" w:hAnsi="Arial" w:cs="Arial"/>
          <w:sz w:val="32"/>
          <w:szCs w:val="32"/>
        </w:rPr>
      </w:pP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Bazuar në ankesa</w:t>
      </w:r>
      <w:r w:rsidR="00265793" w:rsidRPr="00D25594">
        <w:rPr>
          <w:rFonts w:ascii="Arial" w:hAnsi="Arial" w:cs="Arial"/>
          <w:sz w:val="32"/>
          <w:szCs w:val="32"/>
        </w:rPr>
        <w:t>t</w:t>
      </w:r>
      <w:r w:rsidRPr="00D25594">
        <w:rPr>
          <w:rFonts w:ascii="Arial" w:hAnsi="Arial" w:cs="Arial"/>
          <w:sz w:val="32"/>
          <w:szCs w:val="32"/>
        </w:rPr>
        <w:t xml:space="preserve"> janë ndërmarrë proçedurat e monitorimit dhe të hetimit nga Sekretariati, në  zbatim të parimeve të kodit të proçedurës administrative dhe </w:t>
      </w:r>
      <w:r w:rsidR="00265793" w:rsidRPr="00D25594">
        <w:rPr>
          <w:rFonts w:ascii="Arial" w:hAnsi="Arial" w:cs="Arial"/>
          <w:sz w:val="32"/>
          <w:szCs w:val="32"/>
        </w:rPr>
        <w:t>të kuadrit</w:t>
      </w:r>
      <w:r w:rsidRPr="00D25594">
        <w:rPr>
          <w:rFonts w:ascii="Arial" w:hAnsi="Arial" w:cs="Arial"/>
          <w:sz w:val="32"/>
          <w:szCs w:val="32"/>
        </w:rPr>
        <w:t xml:space="preserve"> ligjor të konkurrencës, si dhe janë trajtuar gjerësisht në mbledhjet e Komisionit të Konkurrencës, </w:t>
      </w:r>
      <w:r w:rsidR="001346C0">
        <w:rPr>
          <w:rFonts w:ascii="Arial" w:hAnsi="Arial" w:cs="Arial"/>
          <w:sz w:val="32"/>
          <w:szCs w:val="32"/>
        </w:rPr>
        <w:t>duke dh</w:t>
      </w:r>
      <w:r w:rsidR="00E84182">
        <w:rPr>
          <w:rFonts w:ascii="Arial" w:hAnsi="Arial" w:cs="Arial"/>
          <w:sz w:val="32"/>
          <w:szCs w:val="32"/>
        </w:rPr>
        <w:t>ë</w:t>
      </w:r>
      <w:r w:rsidR="001346C0">
        <w:rPr>
          <w:rFonts w:ascii="Arial" w:hAnsi="Arial" w:cs="Arial"/>
          <w:sz w:val="32"/>
          <w:szCs w:val="32"/>
        </w:rPr>
        <w:t>n</w:t>
      </w:r>
      <w:r w:rsidR="00E84182">
        <w:rPr>
          <w:rFonts w:ascii="Arial" w:hAnsi="Arial" w:cs="Arial"/>
          <w:sz w:val="32"/>
          <w:szCs w:val="32"/>
        </w:rPr>
        <w:t>ë</w:t>
      </w:r>
      <w:r w:rsidR="001346C0">
        <w:rPr>
          <w:rFonts w:ascii="Arial" w:hAnsi="Arial" w:cs="Arial"/>
          <w:sz w:val="32"/>
          <w:szCs w:val="32"/>
        </w:rPr>
        <w:t xml:space="preserve"> zgjidhjet per rivendosjen e konkurrences.</w:t>
      </w: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</w:p>
    <w:p w:rsidR="00265793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Përgjatë</w:t>
      </w:r>
      <w:r w:rsidR="0028457C">
        <w:rPr>
          <w:rFonts w:ascii="Arial" w:hAnsi="Arial" w:cs="Arial"/>
          <w:sz w:val="32"/>
          <w:szCs w:val="32"/>
        </w:rPr>
        <w:t xml:space="preserve"> </w:t>
      </w:r>
      <w:r w:rsidR="00265793" w:rsidRPr="00D25594">
        <w:rPr>
          <w:rFonts w:ascii="Arial" w:hAnsi="Arial" w:cs="Arial"/>
          <w:sz w:val="32"/>
          <w:szCs w:val="32"/>
        </w:rPr>
        <w:t>viti</w:t>
      </w:r>
      <w:r w:rsidR="0028457C">
        <w:rPr>
          <w:rFonts w:ascii="Arial" w:hAnsi="Arial" w:cs="Arial"/>
          <w:sz w:val="32"/>
          <w:szCs w:val="32"/>
        </w:rPr>
        <w:t>t</w:t>
      </w:r>
      <w:r w:rsidR="00265793" w:rsidRPr="00D25594">
        <w:rPr>
          <w:rFonts w:ascii="Arial" w:hAnsi="Arial" w:cs="Arial"/>
          <w:sz w:val="32"/>
          <w:szCs w:val="32"/>
        </w:rPr>
        <w:t xml:space="preserve"> 2013</w:t>
      </w:r>
      <w:r w:rsidRPr="00D25594">
        <w:rPr>
          <w:rFonts w:ascii="Arial" w:hAnsi="Arial" w:cs="Arial"/>
          <w:sz w:val="32"/>
          <w:szCs w:val="32"/>
        </w:rPr>
        <w:t xml:space="preserve">, Komisioni i Konkurrencës ka </w:t>
      </w:r>
      <w:r w:rsidRPr="00D25594">
        <w:rPr>
          <w:rFonts w:ascii="Arial" w:hAnsi="Arial" w:cs="Arial"/>
          <w:b/>
          <w:sz w:val="32"/>
          <w:szCs w:val="32"/>
        </w:rPr>
        <w:t>marrë 42 vendime</w:t>
      </w:r>
      <w:r w:rsidRPr="00D25594">
        <w:rPr>
          <w:rFonts w:ascii="Arial" w:hAnsi="Arial" w:cs="Arial"/>
          <w:sz w:val="32"/>
          <w:szCs w:val="32"/>
        </w:rPr>
        <w:t xml:space="preserve">: </w:t>
      </w:r>
    </w:p>
    <w:p w:rsidR="00265793" w:rsidRPr="00D25594" w:rsidRDefault="00C344EC" w:rsidP="005C24EC">
      <w:pPr>
        <w:pStyle w:val="ListParagraph"/>
        <w:numPr>
          <w:ilvl w:val="0"/>
          <w:numId w:val="3"/>
        </w:numPr>
        <w:ind w:left="360" w:hanging="27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2(dy) vendime për gjoba, (1 për </w:t>
      </w:r>
      <w:r w:rsidR="00B06D1A">
        <w:rPr>
          <w:rFonts w:ascii="Arial" w:hAnsi="Arial" w:cs="Arial"/>
          <w:sz w:val="32"/>
          <w:szCs w:val="32"/>
        </w:rPr>
        <w:t>marr</w:t>
      </w:r>
      <w:r w:rsidR="0062742C">
        <w:rPr>
          <w:rFonts w:ascii="Arial" w:hAnsi="Arial" w:cs="Arial"/>
          <w:sz w:val="32"/>
          <w:szCs w:val="32"/>
        </w:rPr>
        <w:t>ë</w:t>
      </w:r>
      <w:r w:rsidR="00B06D1A">
        <w:rPr>
          <w:rFonts w:ascii="Arial" w:hAnsi="Arial" w:cs="Arial"/>
          <w:sz w:val="32"/>
          <w:szCs w:val="32"/>
        </w:rPr>
        <w:t>veshje t</w:t>
      </w:r>
      <w:r w:rsidR="0062742C">
        <w:rPr>
          <w:rFonts w:ascii="Arial" w:hAnsi="Arial" w:cs="Arial"/>
          <w:sz w:val="32"/>
          <w:szCs w:val="32"/>
        </w:rPr>
        <w:t>ë</w:t>
      </w:r>
      <w:r w:rsidR="00B06D1A">
        <w:rPr>
          <w:rFonts w:ascii="Arial" w:hAnsi="Arial" w:cs="Arial"/>
          <w:sz w:val="32"/>
          <w:szCs w:val="32"/>
        </w:rPr>
        <w:t xml:space="preserve"> ndaluar</w:t>
      </w:r>
      <w:r w:rsidRPr="00D25594">
        <w:rPr>
          <w:rFonts w:ascii="Arial" w:hAnsi="Arial" w:cs="Arial"/>
          <w:sz w:val="32"/>
          <w:szCs w:val="32"/>
        </w:rPr>
        <w:t xml:space="preserve"> dhe 1 për mos njoftimin e përqëndrimeve); </w:t>
      </w:r>
    </w:p>
    <w:p w:rsidR="00265793" w:rsidRPr="00D25594" w:rsidRDefault="00C344EC" w:rsidP="005C24EC">
      <w:pPr>
        <w:pStyle w:val="ListParagraph"/>
        <w:numPr>
          <w:ilvl w:val="0"/>
          <w:numId w:val="3"/>
        </w:numPr>
        <w:ind w:left="360" w:hanging="27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13 (trembëdhjetë) vendime për autorizimin e kontrollit të përqendrimeve; </w:t>
      </w:r>
    </w:p>
    <w:p w:rsidR="00265793" w:rsidRPr="00D25594" w:rsidRDefault="00C344EC" w:rsidP="005C24EC">
      <w:pPr>
        <w:pStyle w:val="ListParagraph"/>
        <w:numPr>
          <w:ilvl w:val="0"/>
          <w:numId w:val="3"/>
        </w:numPr>
        <w:ind w:left="360" w:hanging="27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1(një) vendim për dhënie rekomandimesh për institucionet publike dhe entet rregullatore në kuadër të advokacisë së konkurrencës (pa përfshirë opinionet e Komisionit të Konkurrencës të dhena jo në formë vendimi); </w:t>
      </w:r>
    </w:p>
    <w:p w:rsidR="00265793" w:rsidRPr="00D25594" w:rsidRDefault="00C344EC" w:rsidP="005C24EC">
      <w:pPr>
        <w:pStyle w:val="ListParagraph"/>
        <w:numPr>
          <w:ilvl w:val="0"/>
          <w:numId w:val="3"/>
        </w:numPr>
        <w:ind w:left="360" w:hanging="27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3 (tre) vendime për bazën ligjore sekondare; </w:t>
      </w:r>
    </w:p>
    <w:p w:rsidR="00265793" w:rsidRPr="00D25594" w:rsidRDefault="00C344EC" w:rsidP="005C24EC">
      <w:pPr>
        <w:pStyle w:val="ListParagraph"/>
        <w:numPr>
          <w:ilvl w:val="0"/>
          <w:numId w:val="3"/>
        </w:numPr>
        <w:ind w:left="360" w:hanging="27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vendimet e tjera janë procedurale (përfshirë vendimet për hapje hetimi paraprak, hapje hetimi të thelluar, etj).  </w:t>
      </w: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lastRenderedPageBreak/>
        <w:t xml:space="preserve">Katër vendime të Komisionit janë me mendime pakice, nga të cilat tre janë për kontrollin e përqëndrimeve dhe një për marrëveshje të ndaluar, të cilat janë të publikuara në </w:t>
      </w:r>
      <w:r w:rsidR="00265793" w:rsidRPr="00D25594">
        <w:rPr>
          <w:rFonts w:ascii="Arial" w:hAnsi="Arial" w:cs="Arial"/>
          <w:sz w:val="32"/>
          <w:szCs w:val="32"/>
        </w:rPr>
        <w:t xml:space="preserve">faqen zyrtare të </w:t>
      </w:r>
      <w:r w:rsidR="00DF04E8">
        <w:rPr>
          <w:rFonts w:ascii="Arial" w:hAnsi="Arial" w:cs="Arial"/>
          <w:sz w:val="32"/>
          <w:szCs w:val="32"/>
        </w:rPr>
        <w:t>Autoritet</w:t>
      </w:r>
      <w:r w:rsidR="00265793" w:rsidRPr="00D25594">
        <w:rPr>
          <w:rFonts w:ascii="Arial" w:hAnsi="Arial" w:cs="Arial"/>
          <w:sz w:val="32"/>
          <w:szCs w:val="32"/>
        </w:rPr>
        <w:t>it</w:t>
      </w:r>
      <w:r w:rsidRPr="00D25594">
        <w:rPr>
          <w:rFonts w:ascii="Arial" w:hAnsi="Arial" w:cs="Arial"/>
          <w:sz w:val="32"/>
          <w:szCs w:val="32"/>
        </w:rPr>
        <w:t xml:space="preserve"> </w:t>
      </w:r>
      <w:r w:rsidR="005A3EC3">
        <w:rPr>
          <w:rFonts w:ascii="Arial" w:hAnsi="Arial" w:cs="Arial"/>
          <w:sz w:val="32"/>
          <w:szCs w:val="32"/>
        </w:rPr>
        <w:t>së bashku me vendimet përkatëse, si dhe n</w:t>
      </w:r>
      <w:r w:rsidR="00BD2B0B">
        <w:rPr>
          <w:rFonts w:ascii="Arial" w:hAnsi="Arial" w:cs="Arial"/>
          <w:sz w:val="32"/>
          <w:szCs w:val="32"/>
        </w:rPr>
        <w:t>ë</w:t>
      </w:r>
      <w:r w:rsidR="005A3EC3">
        <w:rPr>
          <w:rFonts w:ascii="Arial" w:hAnsi="Arial" w:cs="Arial"/>
          <w:sz w:val="32"/>
          <w:szCs w:val="32"/>
        </w:rPr>
        <w:t xml:space="preserve"> buletinin e vendimeve.</w:t>
      </w: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</w:p>
    <w:p w:rsidR="005C2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Gjatë vitit 2013 </w:t>
      </w:r>
      <w:r w:rsidR="005A3EC3">
        <w:rPr>
          <w:rFonts w:ascii="Arial" w:hAnsi="Arial" w:cs="Arial"/>
          <w:sz w:val="32"/>
          <w:szCs w:val="32"/>
        </w:rPr>
        <w:t>jan</w:t>
      </w:r>
      <w:r w:rsidR="00BD2B0B">
        <w:rPr>
          <w:rFonts w:ascii="Arial" w:hAnsi="Arial" w:cs="Arial"/>
          <w:sz w:val="32"/>
          <w:szCs w:val="32"/>
        </w:rPr>
        <w:t>ë</w:t>
      </w:r>
      <w:r w:rsidR="005A3EC3">
        <w:rPr>
          <w:rFonts w:ascii="Arial" w:hAnsi="Arial" w:cs="Arial"/>
          <w:sz w:val="32"/>
          <w:szCs w:val="32"/>
        </w:rPr>
        <w:t xml:space="preserve"> p</w:t>
      </w:r>
      <w:r w:rsidR="00BD2B0B">
        <w:rPr>
          <w:rFonts w:ascii="Arial" w:hAnsi="Arial" w:cs="Arial"/>
          <w:sz w:val="32"/>
          <w:szCs w:val="32"/>
        </w:rPr>
        <w:t>ë</w:t>
      </w:r>
      <w:r w:rsidR="005A3EC3">
        <w:rPr>
          <w:rFonts w:ascii="Arial" w:hAnsi="Arial" w:cs="Arial"/>
          <w:sz w:val="32"/>
          <w:szCs w:val="32"/>
        </w:rPr>
        <w:t>rfunduar hetimet dhe monitorimet e mbartura nga</w:t>
      </w:r>
      <w:r w:rsidRPr="00D25594">
        <w:rPr>
          <w:rFonts w:ascii="Arial" w:hAnsi="Arial" w:cs="Arial"/>
          <w:sz w:val="32"/>
          <w:szCs w:val="32"/>
        </w:rPr>
        <w:t xml:space="preserve"> viti 2012 n</w:t>
      </w:r>
      <w:r w:rsidR="00024503" w:rsidRPr="00D25594">
        <w:rPr>
          <w:rFonts w:ascii="Arial" w:hAnsi="Arial" w:cs="Arial"/>
          <w:sz w:val="32"/>
          <w:szCs w:val="32"/>
        </w:rPr>
        <w:t>ë</w:t>
      </w:r>
      <w:r w:rsidRPr="00D25594">
        <w:rPr>
          <w:rFonts w:ascii="Arial" w:hAnsi="Arial" w:cs="Arial"/>
          <w:sz w:val="32"/>
          <w:szCs w:val="32"/>
        </w:rPr>
        <w:t xml:space="preserve"> tregje  të tilla si: </w:t>
      </w:r>
    </w:p>
    <w:p w:rsidR="004E4EF6" w:rsidRDefault="004E4EF6" w:rsidP="005C24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tregu i transportit urban qytetas të udhëtarëve në qytetin e Tiranës</w:t>
      </w:r>
      <w:r>
        <w:rPr>
          <w:rFonts w:ascii="Arial" w:hAnsi="Arial" w:cs="Arial"/>
          <w:sz w:val="32"/>
          <w:szCs w:val="32"/>
        </w:rPr>
        <w:t xml:space="preserve"> (vendosje gjobe p</w:t>
      </w:r>
      <w:r w:rsidR="00BD2B0B">
        <w:rPr>
          <w:rFonts w:ascii="Arial" w:hAnsi="Arial" w:cs="Arial"/>
          <w:sz w:val="32"/>
          <w:szCs w:val="32"/>
        </w:rPr>
        <w:t>ë</w:t>
      </w:r>
      <w:r>
        <w:rPr>
          <w:rFonts w:ascii="Arial" w:hAnsi="Arial" w:cs="Arial"/>
          <w:sz w:val="32"/>
          <w:szCs w:val="32"/>
        </w:rPr>
        <w:t>r pjes</w:t>
      </w:r>
      <w:r w:rsidR="00BD2B0B">
        <w:rPr>
          <w:rFonts w:ascii="Arial" w:hAnsi="Arial" w:cs="Arial"/>
          <w:sz w:val="32"/>
          <w:szCs w:val="32"/>
        </w:rPr>
        <w:t>ë</w:t>
      </w:r>
      <w:r>
        <w:rPr>
          <w:rFonts w:ascii="Arial" w:hAnsi="Arial" w:cs="Arial"/>
          <w:sz w:val="32"/>
          <w:szCs w:val="32"/>
        </w:rPr>
        <w:t>marrje n</w:t>
      </w:r>
      <w:r w:rsidR="00BD2B0B">
        <w:rPr>
          <w:rFonts w:ascii="Arial" w:hAnsi="Arial" w:cs="Arial"/>
          <w:sz w:val="32"/>
          <w:szCs w:val="32"/>
        </w:rPr>
        <w:t>ë</w:t>
      </w:r>
      <w:r>
        <w:rPr>
          <w:rFonts w:ascii="Arial" w:hAnsi="Arial" w:cs="Arial"/>
          <w:sz w:val="32"/>
          <w:szCs w:val="32"/>
        </w:rPr>
        <w:t xml:space="preserve"> marr</w:t>
      </w:r>
      <w:r w:rsidR="00BD2B0B">
        <w:rPr>
          <w:rFonts w:ascii="Arial" w:hAnsi="Arial" w:cs="Arial"/>
          <w:sz w:val="32"/>
          <w:szCs w:val="32"/>
        </w:rPr>
        <w:t>ë</w:t>
      </w:r>
      <w:r>
        <w:rPr>
          <w:rFonts w:ascii="Arial" w:hAnsi="Arial" w:cs="Arial"/>
          <w:sz w:val="32"/>
          <w:szCs w:val="32"/>
        </w:rPr>
        <w:t>veshje);</w:t>
      </w:r>
    </w:p>
    <w:p w:rsidR="005C24EC" w:rsidRPr="00D25594" w:rsidRDefault="00C344EC" w:rsidP="005C24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prodhimi, importi dhe tregëtimi me shumicë i vajit vegjetal</w:t>
      </w:r>
      <w:r w:rsidR="00BD2B0B">
        <w:rPr>
          <w:rFonts w:ascii="Arial" w:hAnsi="Arial" w:cs="Arial"/>
          <w:sz w:val="32"/>
          <w:szCs w:val="32"/>
        </w:rPr>
        <w:t xml:space="preserve"> (munges</w:t>
      </w:r>
      <w:r w:rsidR="00E84182">
        <w:rPr>
          <w:rFonts w:ascii="Arial" w:hAnsi="Arial" w:cs="Arial"/>
          <w:sz w:val="32"/>
          <w:szCs w:val="32"/>
        </w:rPr>
        <w:t>ë</w:t>
      </w:r>
      <w:r w:rsidR="00BD2B0B">
        <w:rPr>
          <w:rFonts w:ascii="Arial" w:hAnsi="Arial" w:cs="Arial"/>
          <w:sz w:val="32"/>
          <w:szCs w:val="32"/>
        </w:rPr>
        <w:t xml:space="preserve"> e evidencave direkte</w:t>
      </w:r>
      <w:r w:rsidR="00E84182">
        <w:rPr>
          <w:rFonts w:ascii="Arial" w:hAnsi="Arial" w:cs="Arial"/>
          <w:sz w:val="32"/>
          <w:szCs w:val="32"/>
        </w:rPr>
        <w:t>,</w:t>
      </w:r>
      <w:r w:rsidR="00BD2B0B">
        <w:rPr>
          <w:rFonts w:ascii="Arial" w:hAnsi="Arial" w:cs="Arial"/>
          <w:sz w:val="32"/>
          <w:szCs w:val="32"/>
        </w:rPr>
        <w:t xml:space="preserve"> vazhdon monitorimi)</w:t>
      </w:r>
      <w:r w:rsidRPr="00D25594">
        <w:rPr>
          <w:rFonts w:ascii="Arial" w:hAnsi="Arial" w:cs="Arial"/>
          <w:sz w:val="32"/>
          <w:szCs w:val="32"/>
        </w:rPr>
        <w:t xml:space="preserve">; </w:t>
      </w:r>
    </w:p>
    <w:p w:rsidR="005C24EC" w:rsidRPr="004E4EF6" w:rsidRDefault="00C344EC" w:rsidP="004E4EF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prodhimi, importi dhe tregëtimi me shumicë i çimentos</w:t>
      </w:r>
      <w:r w:rsidR="00BD2B0B">
        <w:rPr>
          <w:rFonts w:ascii="Arial" w:hAnsi="Arial" w:cs="Arial"/>
          <w:sz w:val="32"/>
          <w:szCs w:val="32"/>
        </w:rPr>
        <w:t xml:space="preserve"> refuxho (munges</w:t>
      </w:r>
      <w:r w:rsidR="00E84182">
        <w:rPr>
          <w:rFonts w:ascii="Arial" w:hAnsi="Arial" w:cs="Arial"/>
          <w:sz w:val="32"/>
          <w:szCs w:val="32"/>
        </w:rPr>
        <w:t>ë</w:t>
      </w:r>
      <w:r w:rsidR="00BD2B0B">
        <w:rPr>
          <w:rFonts w:ascii="Arial" w:hAnsi="Arial" w:cs="Arial"/>
          <w:sz w:val="32"/>
          <w:szCs w:val="32"/>
        </w:rPr>
        <w:t xml:space="preserve"> e evidencave direkte</w:t>
      </w:r>
      <w:r w:rsidR="00E84182">
        <w:rPr>
          <w:rFonts w:ascii="Arial" w:hAnsi="Arial" w:cs="Arial"/>
          <w:sz w:val="32"/>
          <w:szCs w:val="32"/>
        </w:rPr>
        <w:t>,</w:t>
      </w:r>
      <w:r w:rsidR="00BD2B0B">
        <w:rPr>
          <w:rFonts w:ascii="Arial" w:hAnsi="Arial" w:cs="Arial"/>
          <w:sz w:val="32"/>
          <w:szCs w:val="32"/>
        </w:rPr>
        <w:t xml:space="preserve"> vazhdon monitorimi)</w:t>
      </w:r>
      <w:r w:rsidRPr="00D25594">
        <w:rPr>
          <w:rFonts w:ascii="Arial" w:hAnsi="Arial" w:cs="Arial"/>
          <w:sz w:val="32"/>
          <w:szCs w:val="32"/>
        </w:rPr>
        <w:t xml:space="preserve">; </w:t>
      </w:r>
    </w:p>
    <w:p w:rsidR="005A3EC3" w:rsidRDefault="00C344EC" w:rsidP="005C24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tregu i telefonisë celulare me pakicë</w:t>
      </w:r>
      <w:r w:rsidR="00BD2B0B">
        <w:rPr>
          <w:rFonts w:ascii="Arial" w:hAnsi="Arial" w:cs="Arial"/>
          <w:sz w:val="32"/>
          <w:szCs w:val="32"/>
        </w:rPr>
        <w:t xml:space="preserve"> (rekomandime për rregullatorin)</w:t>
      </w:r>
    </w:p>
    <w:p w:rsidR="00AE0C2F" w:rsidRDefault="005A3EC3" w:rsidP="005C24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tregu i transportit ajror t</w:t>
      </w:r>
      <w:r w:rsidR="00BD2B0B">
        <w:rPr>
          <w:rFonts w:ascii="Arial" w:hAnsi="Arial" w:cs="Arial"/>
          <w:sz w:val="32"/>
          <w:szCs w:val="32"/>
        </w:rPr>
        <w:t>ë</w:t>
      </w:r>
      <w:r>
        <w:rPr>
          <w:rFonts w:ascii="Arial" w:hAnsi="Arial" w:cs="Arial"/>
          <w:sz w:val="32"/>
          <w:szCs w:val="32"/>
        </w:rPr>
        <w:t xml:space="preserve"> pa</w:t>
      </w:r>
      <w:r w:rsidR="004E4EF6">
        <w:rPr>
          <w:rFonts w:ascii="Arial" w:hAnsi="Arial" w:cs="Arial"/>
          <w:sz w:val="32"/>
          <w:szCs w:val="32"/>
        </w:rPr>
        <w:t>sagjer</w:t>
      </w:r>
      <w:r w:rsidR="00BD2B0B">
        <w:rPr>
          <w:rFonts w:ascii="Arial" w:hAnsi="Arial" w:cs="Arial"/>
          <w:sz w:val="32"/>
          <w:szCs w:val="32"/>
        </w:rPr>
        <w:t>ë</w:t>
      </w:r>
      <w:r w:rsidR="004E4EF6">
        <w:rPr>
          <w:rFonts w:ascii="Arial" w:hAnsi="Arial" w:cs="Arial"/>
          <w:sz w:val="32"/>
          <w:szCs w:val="32"/>
        </w:rPr>
        <w:t>ve</w:t>
      </w:r>
      <w:r w:rsidR="00BD2B0B">
        <w:rPr>
          <w:rFonts w:ascii="Arial" w:hAnsi="Arial" w:cs="Arial"/>
          <w:sz w:val="32"/>
          <w:szCs w:val="32"/>
        </w:rPr>
        <w:t xml:space="preserve"> (me rekomandime për Organin Shtetëror të Autorizuar)</w:t>
      </w:r>
    </w:p>
    <w:p w:rsidR="005C24EC" w:rsidRPr="00D25594" w:rsidRDefault="00AE0C2F" w:rsidP="005C24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tregu financiar (mbi marrëdhëniet midis bankave dhe shoqërive të sigurimit – rekomndime Bank</w:t>
      </w:r>
      <w:r w:rsidR="00E84182">
        <w:rPr>
          <w:rFonts w:ascii="Arial" w:hAnsi="Arial" w:cs="Arial"/>
          <w:sz w:val="32"/>
          <w:szCs w:val="32"/>
        </w:rPr>
        <w:t>ë</w:t>
      </w:r>
      <w:r>
        <w:rPr>
          <w:rFonts w:ascii="Arial" w:hAnsi="Arial" w:cs="Arial"/>
          <w:sz w:val="32"/>
          <w:szCs w:val="32"/>
        </w:rPr>
        <w:t xml:space="preserve">s së Shqipërisë dhe </w:t>
      </w:r>
      <w:r w:rsidR="00DF04E8">
        <w:rPr>
          <w:rFonts w:ascii="Arial" w:hAnsi="Arial" w:cs="Arial"/>
          <w:sz w:val="32"/>
          <w:szCs w:val="32"/>
        </w:rPr>
        <w:t>Autoritet</w:t>
      </w:r>
      <w:r>
        <w:rPr>
          <w:rFonts w:ascii="Arial" w:hAnsi="Arial" w:cs="Arial"/>
          <w:sz w:val="32"/>
          <w:szCs w:val="32"/>
        </w:rPr>
        <w:t>it të Mbikëqyrjes Financiare)</w:t>
      </w:r>
      <w:r w:rsidR="00C344EC" w:rsidRPr="00D25594">
        <w:rPr>
          <w:rFonts w:ascii="Arial" w:hAnsi="Arial" w:cs="Arial"/>
          <w:sz w:val="32"/>
          <w:szCs w:val="32"/>
        </w:rPr>
        <w:t xml:space="preserve">. </w:t>
      </w:r>
    </w:p>
    <w:p w:rsidR="005C24EC" w:rsidRPr="00D25594" w:rsidRDefault="005C24EC" w:rsidP="00C344EC">
      <w:pPr>
        <w:jc w:val="both"/>
        <w:rPr>
          <w:rFonts w:ascii="Arial" w:hAnsi="Arial" w:cs="Arial"/>
          <w:sz w:val="32"/>
          <w:szCs w:val="32"/>
        </w:rPr>
      </w:pPr>
    </w:p>
    <w:p w:rsidR="005C2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Sikurse janë realizuar proçedurat e monitorimit dhe të hetimit në tregjet si: </w:t>
      </w:r>
    </w:p>
    <w:p w:rsidR="005C24EC" w:rsidRPr="00D25594" w:rsidRDefault="00C344EC" w:rsidP="005C24E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ngarkim-shkarkimi në rrugë detare të gazit të lëngshëm; </w:t>
      </w:r>
    </w:p>
    <w:p w:rsidR="005C24EC" w:rsidRPr="00D25594" w:rsidRDefault="00C344EC" w:rsidP="005C24E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telekomunikacioneve; </w:t>
      </w:r>
    </w:p>
    <w:p w:rsidR="005C24EC" w:rsidRPr="00D25594" w:rsidRDefault="00C344EC" w:rsidP="005C24E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energjisë elektrike; </w:t>
      </w:r>
    </w:p>
    <w:p w:rsidR="005C24EC" w:rsidRPr="00D25594" w:rsidRDefault="00C344EC" w:rsidP="005C24E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tregu i prokurimeve publike i shërbimit të ruajtjes fizike; </w:t>
      </w:r>
    </w:p>
    <w:p w:rsidR="005C24EC" w:rsidRPr="00D25594" w:rsidRDefault="00094EEC" w:rsidP="005C24E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tregu i </w:t>
      </w:r>
      <w:r w:rsidR="00C344EC" w:rsidRPr="00D25594">
        <w:rPr>
          <w:rFonts w:ascii="Arial" w:hAnsi="Arial" w:cs="Arial"/>
          <w:sz w:val="32"/>
          <w:szCs w:val="32"/>
        </w:rPr>
        <w:t>prodhimit, importit dhe shitja me shumicë e karburanteve</w:t>
      </w:r>
      <w:r w:rsidR="00BD2B0B">
        <w:rPr>
          <w:rFonts w:ascii="Arial" w:hAnsi="Arial" w:cs="Arial"/>
          <w:sz w:val="32"/>
          <w:szCs w:val="32"/>
        </w:rPr>
        <w:t xml:space="preserve"> (n</w:t>
      </w:r>
      <w:r>
        <w:rPr>
          <w:rFonts w:ascii="Arial" w:hAnsi="Arial" w:cs="Arial"/>
          <w:sz w:val="32"/>
          <w:szCs w:val="32"/>
        </w:rPr>
        <w:t>ë</w:t>
      </w:r>
      <w:r w:rsidR="00BD2B0B">
        <w:rPr>
          <w:rFonts w:ascii="Arial" w:hAnsi="Arial" w:cs="Arial"/>
          <w:sz w:val="32"/>
          <w:szCs w:val="32"/>
        </w:rPr>
        <w:t xml:space="preserve"> proçes)</w:t>
      </w:r>
      <w:r w:rsidR="00C344EC" w:rsidRPr="00D25594">
        <w:rPr>
          <w:rFonts w:ascii="Arial" w:hAnsi="Arial" w:cs="Arial"/>
          <w:sz w:val="32"/>
          <w:szCs w:val="32"/>
        </w:rPr>
        <w:t xml:space="preserve">; </w:t>
      </w:r>
    </w:p>
    <w:p w:rsidR="005C24EC" w:rsidRPr="00D25594" w:rsidRDefault="00C344EC" w:rsidP="005C24E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si dhe tregu i sigurimeve të detyrueshme të mjeteve motorrike</w:t>
      </w:r>
      <w:r w:rsidR="00BD2B0B">
        <w:rPr>
          <w:rFonts w:ascii="Arial" w:hAnsi="Arial" w:cs="Arial"/>
          <w:sz w:val="32"/>
          <w:szCs w:val="32"/>
        </w:rPr>
        <w:t xml:space="preserve"> (n</w:t>
      </w:r>
      <w:r w:rsidR="00094EEC">
        <w:rPr>
          <w:rFonts w:ascii="Arial" w:hAnsi="Arial" w:cs="Arial"/>
          <w:sz w:val="32"/>
          <w:szCs w:val="32"/>
        </w:rPr>
        <w:t>ë</w:t>
      </w:r>
      <w:r w:rsidR="00BD2B0B">
        <w:rPr>
          <w:rFonts w:ascii="Arial" w:hAnsi="Arial" w:cs="Arial"/>
          <w:sz w:val="32"/>
          <w:szCs w:val="32"/>
        </w:rPr>
        <w:t xml:space="preserve"> proçes)</w:t>
      </w:r>
      <w:r w:rsidRPr="00D25594">
        <w:rPr>
          <w:rFonts w:ascii="Arial" w:hAnsi="Arial" w:cs="Arial"/>
          <w:sz w:val="32"/>
          <w:szCs w:val="32"/>
        </w:rPr>
        <w:t xml:space="preserve">. </w:t>
      </w: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Këto raste kryesisht janë filluar bazuar në ankesat e ndërmarrjeve në tregjet përkatëse, të cilat adresojnë shqetësime për sjelljet </w:t>
      </w:r>
      <w:r w:rsidRPr="00D25594">
        <w:rPr>
          <w:rFonts w:ascii="Arial" w:hAnsi="Arial" w:cs="Arial"/>
          <w:sz w:val="32"/>
          <w:szCs w:val="32"/>
        </w:rPr>
        <w:lastRenderedPageBreak/>
        <w:t>antikonkurruese të ndërmarrjeve me fuqi tregu apo të grupimeve të ndërmarrjeve</w:t>
      </w:r>
      <w:r w:rsidR="00094EEC">
        <w:rPr>
          <w:rFonts w:ascii="Arial" w:hAnsi="Arial" w:cs="Arial"/>
          <w:sz w:val="32"/>
          <w:szCs w:val="32"/>
        </w:rPr>
        <w:t xml:space="preserve"> t</w:t>
      </w:r>
      <w:r w:rsidR="00946487">
        <w:rPr>
          <w:rFonts w:ascii="Arial" w:hAnsi="Arial" w:cs="Arial"/>
          <w:sz w:val="32"/>
          <w:szCs w:val="32"/>
        </w:rPr>
        <w:t>ë</w:t>
      </w:r>
      <w:r w:rsidR="00094EEC">
        <w:rPr>
          <w:rFonts w:ascii="Arial" w:hAnsi="Arial" w:cs="Arial"/>
          <w:sz w:val="32"/>
          <w:szCs w:val="32"/>
        </w:rPr>
        <w:t xml:space="preserve"> tjera</w:t>
      </w:r>
      <w:r w:rsidRPr="00D25594">
        <w:rPr>
          <w:rFonts w:ascii="Arial" w:hAnsi="Arial" w:cs="Arial"/>
          <w:sz w:val="32"/>
          <w:szCs w:val="32"/>
        </w:rPr>
        <w:t xml:space="preserve">.  </w:t>
      </w: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Eksperienca e grumbulluar gjatë gjithë periudhës së zbatimit të Ligjit “Për mbrojtjen e konkurrencës” tregon se është rritur numri i ankesave për </w:t>
      </w:r>
      <w:r w:rsidRPr="00D25594">
        <w:rPr>
          <w:rFonts w:ascii="Arial" w:hAnsi="Arial" w:cs="Arial"/>
          <w:b/>
          <w:sz w:val="32"/>
          <w:szCs w:val="32"/>
        </w:rPr>
        <w:t>marrëveshje të ndaluara</w:t>
      </w:r>
      <w:r w:rsidRPr="00D25594">
        <w:rPr>
          <w:rFonts w:ascii="Arial" w:hAnsi="Arial" w:cs="Arial"/>
          <w:sz w:val="32"/>
          <w:szCs w:val="32"/>
        </w:rPr>
        <w:t xml:space="preserve">, </w:t>
      </w:r>
      <w:r w:rsidR="00094EEC">
        <w:rPr>
          <w:rFonts w:ascii="Arial" w:hAnsi="Arial" w:cs="Arial"/>
          <w:sz w:val="32"/>
          <w:szCs w:val="32"/>
        </w:rPr>
        <w:t xml:space="preserve">i cili </w:t>
      </w:r>
      <w:r w:rsidR="00946487">
        <w:rPr>
          <w:rFonts w:ascii="Arial" w:hAnsi="Arial" w:cs="Arial"/>
          <w:sz w:val="32"/>
          <w:szCs w:val="32"/>
        </w:rPr>
        <w:t>ë</w:t>
      </w:r>
      <w:r w:rsidR="00094EEC">
        <w:rPr>
          <w:rFonts w:ascii="Arial" w:hAnsi="Arial" w:cs="Arial"/>
          <w:sz w:val="32"/>
          <w:szCs w:val="32"/>
        </w:rPr>
        <w:t>sht</w:t>
      </w:r>
      <w:r w:rsidR="00946487">
        <w:rPr>
          <w:rFonts w:ascii="Arial" w:hAnsi="Arial" w:cs="Arial"/>
          <w:sz w:val="32"/>
          <w:szCs w:val="32"/>
        </w:rPr>
        <w:t>ë</w:t>
      </w:r>
      <w:r w:rsidR="00094EEC">
        <w:rPr>
          <w:rFonts w:ascii="Arial" w:hAnsi="Arial" w:cs="Arial"/>
          <w:sz w:val="32"/>
          <w:szCs w:val="32"/>
        </w:rPr>
        <w:t xml:space="preserve"> </w:t>
      </w:r>
      <w:r w:rsidRPr="00D25594">
        <w:rPr>
          <w:rFonts w:ascii="Arial" w:hAnsi="Arial" w:cs="Arial"/>
          <w:sz w:val="32"/>
          <w:szCs w:val="32"/>
        </w:rPr>
        <w:t>tregues i rritjes së shkallës së njohjes së të drejtës së konkurrencës kryesisht n</w:t>
      </w:r>
      <w:r w:rsidR="005C24EC" w:rsidRPr="00D25594">
        <w:rPr>
          <w:rFonts w:ascii="Arial" w:hAnsi="Arial" w:cs="Arial"/>
          <w:sz w:val="32"/>
          <w:szCs w:val="32"/>
        </w:rPr>
        <w:t>ga</w:t>
      </w:r>
      <w:r w:rsidRPr="00D25594">
        <w:rPr>
          <w:rFonts w:ascii="Arial" w:hAnsi="Arial" w:cs="Arial"/>
          <w:sz w:val="32"/>
          <w:szCs w:val="32"/>
        </w:rPr>
        <w:t xml:space="preserve"> bizneset dhe tregjet ku janë zhvilluar monitorime dhe hetime të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 xml:space="preserve">it të Konkurrencës. Por në të njëjtën kohë është rritur shkalla e vështirësisë së gjetjes së evidencave direkte që do të provonin ekzistencën e marrëveshjeve të ndaluara. Për këto arsye,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 xml:space="preserve">i është përqëndruar në rritjen e shkallës së profesionalizmit </w:t>
      </w:r>
      <w:r w:rsidR="00946487">
        <w:rPr>
          <w:rFonts w:ascii="Arial" w:hAnsi="Arial" w:cs="Arial"/>
          <w:sz w:val="32"/>
          <w:szCs w:val="32"/>
        </w:rPr>
        <w:t>për zbatimin e</w:t>
      </w:r>
      <w:r w:rsidRPr="00D25594">
        <w:rPr>
          <w:rFonts w:ascii="Arial" w:hAnsi="Arial" w:cs="Arial"/>
          <w:sz w:val="32"/>
          <w:szCs w:val="32"/>
        </w:rPr>
        <w:t xml:space="preserve"> teknikave bashkëkohore </w:t>
      </w:r>
      <w:r w:rsidR="00946487">
        <w:rPr>
          <w:rFonts w:ascii="Arial" w:hAnsi="Arial" w:cs="Arial"/>
          <w:sz w:val="32"/>
          <w:szCs w:val="32"/>
        </w:rPr>
        <w:t>p</w:t>
      </w:r>
      <w:r w:rsidRPr="00D25594">
        <w:rPr>
          <w:rFonts w:ascii="Arial" w:hAnsi="Arial" w:cs="Arial"/>
          <w:sz w:val="32"/>
          <w:szCs w:val="32"/>
        </w:rPr>
        <w:t>ë</w:t>
      </w:r>
      <w:r w:rsidR="00946487">
        <w:rPr>
          <w:rFonts w:ascii="Arial" w:hAnsi="Arial" w:cs="Arial"/>
          <w:sz w:val="32"/>
          <w:szCs w:val="32"/>
        </w:rPr>
        <w:t>r</w:t>
      </w:r>
      <w:r w:rsidRPr="00D25594">
        <w:rPr>
          <w:rFonts w:ascii="Arial" w:hAnsi="Arial" w:cs="Arial"/>
          <w:sz w:val="32"/>
          <w:szCs w:val="32"/>
        </w:rPr>
        <w:t xml:space="preserve"> evide</w:t>
      </w:r>
      <w:r w:rsidR="00946487">
        <w:rPr>
          <w:rFonts w:ascii="Arial" w:hAnsi="Arial" w:cs="Arial"/>
          <w:sz w:val="32"/>
          <w:szCs w:val="32"/>
        </w:rPr>
        <w:t>ntimin e</w:t>
      </w:r>
      <w:r w:rsidRPr="00D25594">
        <w:rPr>
          <w:rFonts w:ascii="Arial" w:hAnsi="Arial" w:cs="Arial"/>
          <w:sz w:val="32"/>
          <w:szCs w:val="32"/>
        </w:rPr>
        <w:t xml:space="preserve"> marrëveshjeve të ndaluara dhe rritjes së kapaciteteve administrative për shqyrtimin e karteleve</w:t>
      </w:r>
      <w:r w:rsidR="00024503" w:rsidRPr="00D25594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nëpërmjet analizave ekonomike dhe ekonometrike. Ky fakt është evidentuar gjatë shqyrtimit të rasteve në tregun e vajit dhe të çimentos. </w:t>
      </w: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Gjatë trajtimit të rasteve që lidhen me </w:t>
      </w:r>
      <w:r w:rsidRPr="00D25594">
        <w:rPr>
          <w:rFonts w:ascii="Arial" w:hAnsi="Arial" w:cs="Arial"/>
          <w:b/>
          <w:sz w:val="32"/>
          <w:szCs w:val="32"/>
        </w:rPr>
        <w:t>abuzimet me pozitën dominuese</w:t>
      </w:r>
      <w:r w:rsidRPr="00D25594">
        <w:rPr>
          <w:rFonts w:ascii="Arial" w:hAnsi="Arial" w:cs="Arial"/>
          <w:sz w:val="32"/>
          <w:szCs w:val="32"/>
        </w:rPr>
        <w:t xml:space="preserve"> është evidentuar rëndësia dhe roli i enteve rregullatore në tregjet e rregulluara, si në atë të telekom</w:t>
      </w:r>
      <w:r w:rsidR="00906051">
        <w:rPr>
          <w:rFonts w:ascii="Arial" w:hAnsi="Arial" w:cs="Arial"/>
          <w:sz w:val="32"/>
          <w:szCs w:val="32"/>
        </w:rPr>
        <w:t>u</w:t>
      </w:r>
      <w:r w:rsidRPr="00D25594">
        <w:rPr>
          <w:rFonts w:ascii="Arial" w:hAnsi="Arial" w:cs="Arial"/>
          <w:sz w:val="32"/>
          <w:szCs w:val="32"/>
        </w:rPr>
        <w:t>nikacionit apo të energjisë, apo rëndësia që ka roli i shtetit si mbikqyrës i drejtëpërdrejtë i zbatimit të detyrimeve kontraktuale në shërbimet e dhëna me konçesion si në rastin e konçesionit të ngarkim-shkarkimit të gazit të lëngshëm në rrugë detare.</w:t>
      </w: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Gjatë vitit 2013, janë shqyrtuar dhe autorizuar 13 praktika të shit/blerjes së aksioneve, të cilat </w:t>
      </w:r>
      <w:r w:rsidR="00946487">
        <w:rPr>
          <w:rFonts w:ascii="Arial" w:hAnsi="Arial" w:cs="Arial"/>
          <w:sz w:val="32"/>
          <w:szCs w:val="32"/>
        </w:rPr>
        <w:t>sjellin</w:t>
      </w:r>
      <w:r w:rsidRPr="00D25594">
        <w:rPr>
          <w:rFonts w:ascii="Arial" w:hAnsi="Arial" w:cs="Arial"/>
          <w:sz w:val="32"/>
          <w:szCs w:val="32"/>
        </w:rPr>
        <w:t xml:space="preserve"> përftimin e kontrollit, bashkimin e ndërmarrjeve apo krijimin e një ndërmarrje të re. Përq</w:t>
      </w:r>
      <w:r w:rsidR="00906051">
        <w:rPr>
          <w:rFonts w:ascii="Arial" w:hAnsi="Arial" w:cs="Arial"/>
          <w:sz w:val="32"/>
          <w:szCs w:val="32"/>
        </w:rPr>
        <w:t>ë</w:t>
      </w:r>
      <w:r w:rsidRPr="00D25594">
        <w:rPr>
          <w:rFonts w:ascii="Arial" w:hAnsi="Arial" w:cs="Arial"/>
          <w:sz w:val="32"/>
          <w:szCs w:val="32"/>
        </w:rPr>
        <w:t xml:space="preserve">ndrimet e ndodhura janë shqyrtuar </w:t>
      </w:r>
      <w:r w:rsidR="00946487">
        <w:rPr>
          <w:rFonts w:ascii="Arial" w:hAnsi="Arial" w:cs="Arial"/>
          <w:sz w:val="32"/>
          <w:szCs w:val="32"/>
        </w:rPr>
        <w:t>p</w:t>
      </w:r>
      <w:r w:rsidR="003576DB">
        <w:rPr>
          <w:rFonts w:ascii="Arial" w:hAnsi="Arial" w:cs="Arial"/>
          <w:sz w:val="32"/>
          <w:szCs w:val="32"/>
        </w:rPr>
        <w:t>ë</w:t>
      </w:r>
      <w:r w:rsidR="00946487">
        <w:rPr>
          <w:rFonts w:ascii="Arial" w:hAnsi="Arial" w:cs="Arial"/>
          <w:sz w:val="32"/>
          <w:szCs w:val="32"/>
        </w:rPr>
        <w:t xml:space="preserve">r efektet </w:t>
      </w:r>
      <w:r w:rsidR="00946487" w:rsidRPr="00D25594">
        <w:rPr>
          <w:rFonts w:ascii="Arial" w:hAnsi="Arial" w:cs="Arial"/>
          <w:sz w:val="32"/>
          <w:szCs w:val="32"/>
        </w:rPr>
        <w:t xml:space="preserve">e mundshme për të krijuar apo forcuar pozitën dominuese  të ndërmarrjes </w:t>
      </w:r>
      <w:r w:rsidR="00946487">
        <w:rPr>
          <w:rFonts w:ascii="Arial" w:hAnsi="Arial" w:cs="Arial"/>
          <w:sz w:val="32"/>
          <w:szCs w:val="32"/>
        </w:rPr>
        <w:t>objekt t</w:t>
      </w:r>
      <w:r w:rsidR="003576DB">
        <w:rPr>
          <w:rFonts w:ascii="Arial" w:hAnsi="Arial" w:cs="Arial"/>
          <w:sz w:val="32"/>
          <w:szCs w:val="32"/>
        </w:rPr>
        <w:t>ë</w:t>
      </w:r>
      <w:r w:rsidR="00946487">
        <w:rPr>
          <w:rFonts w:ascii="Arial" w:hAnsi="Arial" w:cs="Arial"/>
          <w:sz w:val="32"/>
          <w:szCs w:val="32"/>
        </w:rPr>
        <w:t xml:space="preserve"> transaksionit, </w:t>
      </w:r>
      <w:r w:rsidRPr="00D25594">
        <w:rPr>
          <w:rFonts w:ascii="Arial" w:hAnsi="Arial" w:cs="Arial"/>
          <w:sz w:val="32"/>
          <w:szCs w:val="32"/>
        </w:rPr>
        <w:t xml:space="preserve">si </w:t>
      </w:r>
      <w:r w:rsidR="00946487">
        <w:rPr>
          <w:rFonts w:ascii="Arial" w:hAnsi="Arial" w:cs="Arial"/>
          <w:sz w:val="32"/>
          <w:szCs w:val="32"/>
        </w:rPr>
        <w:t xml:space="preserve">dhe </w:t>
      </w:r>
      <w:r w:rsidRPr="00D25594">
        <w:rPr>
          <w:rFonts w:ascii="Arial" w:hAnsi="Arial" w:cs="Arial"/>
          <w:sz w:val="32"/>
          <w:szCs w:val="32"/>
        </w:rPr>
        <w:t xml:space="preserve">për efektet </w:t>
      </w:r>
      <w:r w:rsidR="00946487">
        <w:rPr>
          <w:rFonts w:ascii="Arial" w:hAnsi="Arial" w:cs="Arial"/>
          <w:sz w:val="32"/>
          <w:szCs w:val="32"/>
        </w:rPr>
        <w:t xml:space="preserve">potenciale në treg, </w:t>
      </w:r>
      <w:r w:rsidRPr="00D25594">
        <w:rPr>
          <w:rFonts w:ascii="Arial" w:hAnsi="Arial" w:cs="Arial"/>
          <w:sz w:val="32"/>
          <w:szCs w:val="32"/>
        </w:rPr>
        <w:t xml:space="preserve">nga pikëpamja e konsumatorit dhe rritjes së efiçensës në treg. Përqëndrimet kryesore kanë ndodhur në tregun e energjisë </w:t>
      </w:r>
      <w:r w:rsidRPr="00D25594">
        <w:rPr>
          <w:rFonts w:ascii="Arial" w:hAnsi="Arial" w:cs="Arial"/>
          <w:sz w:val="32"/>
          <w:szCs w:val="32"/>
        </w:rPr>
        <w:lastRenderedPageBreak/>
        <w:t xml:space="preserve">elektrike, ndërtimit, shitjes me pakicë etj., dhe në asnjë nga rastet e shqyrtuara nuk ka patur shqetësime për kufizim të konkurrencën në formën e krijimit apo forcimit të pozitës dominuese. </w:t>
      </w: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</w:p>
    <w:p w:rsidR="00024503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Forcimi i zbatimit të </w:t>
      </w:r>
      <w:r w:rsidR="00906051">
        <w:rPr>
          <w:rFonts w:ascii="Arial" w:hAnsi="Arial" w:cs="Arial"/>
          <w:sz w:val="32"/>
          <w:szCs w:val="32"/>
        </w:rPr>
        <w:t>L</w:t>
      </w:r>
      <w:r w:rsidRPr="00D25594">
        <w:rPr>
          <w:rFonts w:ascii="Arial" w:hAnsi="Arial" w:cs="Arial"/>
          <w:sz w:val="32"/>
          <w:szCs w:val="32"/>
        </w:rPr>
        <w:t xml:space="preserve">igjit është konsideruar e lidhur ngushtë me plotësimin dhe përmirësimin e </w:t>
      </w:r>
      <w:r w:rsidRPr="00D25594">
        <w:rPr>
          <w:rFonts w:ascii="Arial" w:hAnsi="Arial" w:cs="Arial"/>
          <w:b/>
          <w:sz w:val="32"/>
          <w:szCs w:val="32"/>
        </w:rPr>
        <w:t>kuadrit nënligjor</w:t>
      </w:r>
      <w:r w:rsidRPr="00D25594">
        <w:rPr>
          <w:rFonts w:ascii="Arial" w:hAnsi="Arial" w:cs="Arial"/>
          <w:sz w:val="32"/>
          <w:szCs w:val="32"/>
        </w:rPr>
        <w:t xml:space="preserve"> të konkurrencës, proçes i cili synon edhe përafrimin e legjislacionit shqiptar me të drejtën europiane në fushën e konkurrencës. </w:t>
      </w:r>
      <w:r w:rsidR="00DF04E8">
        <w:rPr>
          <w:rFonts w:ascii="Arial" w:hAnsi="Arial" w:cs="Arial"/>
          <w:sz w:val="32"/>
          <w:szCs w:val="32"/>
        </w:rPr>
        <w:t>Autoritet</w:t>
      </w:r>
      <w:r w:rsidR="00024503" w:rsidRPr="00D25594">
        <w:rPr>
          <w:rFonts w:ascii="Arial" w:hAnsi="Arial" w:cs="Arial"/>
          <w:sz w:val="32"/>
          <w:szCs w:val="32"/>
        </w:rPr>
        <w:t xml:space="preserve">i i Konkurrencës ka hartuar dhe miratuar aktet nënligjore </w:t>
      </w:r>
      <w:r w:rsidR="003576DB">
        <w:rPr>
          <w:rFonts w:ascii="Arial" w:hAnsi="Arial" w:cs="Arial"/>
          <w:sz w:val="32"/>
          <w:szCs w:val="32"/>
        </w:rPr>
        <w:t xml:space="preserve">të cilat mundësojnë zbatimin e nenit 6 të </w:t>
      </w:r>
      <w:r w:rsidR="00906051">
        <w:rPr>
          <w:rFonts w:ascii="Arial" w:hAnsi="Arial" w:cs="Arial"/>
          <w:sz w:val="32"/>
          <w:szCs w:val="32"/>
        </w:rPr>
        <w:t>L</w:t>
      </w:r>
      <w:r w:rsidR="003576DB">
        <w:rPr>
          <w:rFonts w:ascii="Arial" w:hAnsi="Arial" w:cs="Arial"/>
          <w:sz w:val="32"/>
          <w:szCs w:val="32"/>
        </w:rPr>
        <w:t xml:space="preserve">igjit për </w:t>
      </w:r>
      <w:r w:rsidR="003576DB" w:rsidRPr="00D25594">
        <w:rPr>
          <w:rFonts w:ascii="Arial" w:hAnsi="Arial" w:cs="Arial"/>
          <w:sz w:val="32"/>
          <w:szCs w:val="32"/>
        </w:rPr>
        <w:t xml:space="preserve">përjashtimet në bllok të marrëveshjeve midis ndërmarrjeve që operojnë </w:t>
      </w:r>
      <w:r w:rsidR="00024503" w:rsidRPr="00D25594">
        <w:rPr>
          <w:rFonts w:ascii="Arial" w:hAnsi="Arial" w:cs="Arial"/>
          <w:sz w:val="32"/>
          <w:szCs w:val="32"/>
        </w:rPr>
        <w:t xml:space="preserve">në sektorin e sigurimeve si dhe </w:t>
      </w:r>
      <w:r w:rsidR="003576DB">
        <w:rPr>
          <w:rFonts w:ascii="Arial" w:hAnsi="Arial" w:cs="Arial"/>
          <w:sz w:val="32"/>
          <w:szCs w:val="32"/>
        </w:rPr>
        <w:t>në sektorin e transportit ajror</w:t>
      </w:r>
      <w:r w:rsidR="00024503" w:rsidRPr="00D25594">
        <w:rPr>
          <w:rFonts w:ascii="Arial" w:hAnsi="Arial" w:cs="Arial"/>
          <w:sz w:val="32"/>
          <w:szCs w:val="32"/>
        </w:rPr>
        <w:t>. Gjithashtu, është miratuar udhëzuesi për vlerësimin e marrëveshjeve horizontale, i cili përbën një manual pune për ekspertët e konkurrencës, si të institucionit të konkurrencës, ashtu edhe për palët e treta të interesuar për zbatimin e ligjit. Proçesi i hartimit dhe i miratimit të këtyre akteve nënligjore është përdorur si instrument për forcimin e kulturës</w:t>
      </w:r>
      <w:r w:rsidR="00A7555F">
        <w:rPr>
          <w:rFonts w:ascii="Arial" w:hAnsi="Arial" w:cs="Arial"/>
          <w:sz w:val="32"/>
          <w:szCs w:val="32"/>
        </w:rPr>
        <w:t xml:space="preserve"> dhe advokacisë së konkurrencës.</w:t>
      </w:r>
    </w:p>
    <w:p w:rsidR="00024503" w:rsidRPr="00D25594" w:rsidRDefault="00024503" w:rsidP="00C344EC">
      <w:pPr>
        <w:jc w:val="both"/>
        <w:rPr>
          <w:rFonts w:ascii="Arial" w:hAnsi="Arial" w:cs="Arial"/>
          <w:sz w:val="32"/>
          <w:szCs w:val="32"/>
        </w:rPr>
      </w:pP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Efekti i vendimeve të Komisionit të Konkurrencës është i lidhur me shkallën e zbatimit të tyre. Vendimet e Komisionit të Konkurrencës, të cilat i adresohen ndërmarrjeve për shkeljet e provuara të </w:t>
      </w:r>
      <w:r w:rsidR="00906051">
        <w:rPr>
          <w:rFonts w:ascii="Arial" w:hAnsi="Arial" w:cs="Arial"/>
          <w:sz w:val="32"/>
          <w:szCs w:val="32"/>
        </w:rPr>
        <w:t>L</w:t>
      </w:r>
      <w:r w:rsidRPr="00D25594">
        <w:rPr>
          <w:rFonts w:ascii="Arial" w:hAnsi="Arial" w:cs="Arial"/>
          <w:sz w:val="32"/>
          <w:szCs w:val="32"/>
        </w:rPr>
        <w:t xml:space="preserve">igjit në formën e abuzimit me pozitën dominuese apo në formën e pjesëmarrjes në marrëveshjet e ndaluara, dhe që konkludojnë me gjoba, janë objekt </w:t>
      </w:r>
      <w:r w:rsidRPr="00D25594">
        <w:rPr>
          <w:rFonts w:ascii="Arial" w:hAnsi="Arial" w:cs="Arial"/>
          <w:b/>
          <w:sz w:val="32"/>
          <w:szCs w:val="32"/>
        </w:rPr>
        <w:t>shqyrtimi në gjykatë</w:t>
      </w:r>
      <w:r w:rsidRPr="00D25594">
        <w:rPr>
          <w:rFonts w:ascii="Arial" w:hAnsi="Arial" w:cs="Arial"/>
          <w:sz w:val="32"/>
          <w:szCs w:val="32"/>
        </w:rPr>
        <w:t xml:space="preserve">. Gjatë vitit të kaluar, në të tre shkallët e gjyqësorit, kanë qënë për shqyrtim 27 çështje prej të cilave, 16 raste mbeten për shqyrtim në 2014 dhe 11 prej tyre shqyrtuar në 2013 duke rezultuar përkohësisht: pesë të humbura, pesë të fituara dhe një derguar për rishqyrtim për efekt moskompetence në Gjykatën Administrative. </w:t>
      </w:r>
    </w:p>
    <w:p w:rsidR="00C344EC" w:rsidRPr="00D25594" w:rsidRDefault="00D25594" w:rsidP="00C344EC">
      <w:pPr>
        <w:spacing w:before="24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P</w:t>
      </w:r>
      <w:r w:rsidR="00C344EC" w:rsidRPr="00D25594">
        <w:rPr>
          <w:rFonts w:ascii="Arial" w:hAnsi="Arial" w:cs="Arial"/>
          <w:sz w:val="32"/>
          <w:szCs w:val="32"/>
        </w:rPr>
        <w:t>roblematik</w:t>
      </w:r>
      <w:r w:rsidRPr="00D25594">
        <w:rPr>
          <w:rFonts w:ascii="Arial" w:hAnsi="Arial" w:cs="Arial"/>
          <w:sz w:val="32"/>
          <w:szCs w:val="32"/>
        </w:rPr>
        <w:t>a</w:t>
      </w:r>
      <w:r w:rsidR="00C344EC" w:rsidRPr="00D25594">
        <w:rPr>
          <w:rFonts w:ascii="Arial" w:hAnsi="Arial" w:cs="Arial"/>
          <w:sz w:val="32"/>
          <w:szCs w:val="32"/>
        </w:rPr>
        <w:t xml:space="preserve"> e kohëzgjatjes së tratimit të një vendimi të Komisionit të Konkurrencës në sistemin gjyqësor përbën një nga </w:t>
      </w:r>
      <w:r w:rsidR="00C344EC" w:rsidRPr="00D25594">
        <w:rPr>
          <w:rFonts w:ascii="Arial" w:hAnsi="Arial" w:cs="Arial"/>
          <w:sz w:val="32"/>
          <w:szCs w:val="32"/>
        </w:rPr>
        <w:lastRenderedPageBreak/>
        <w:t>shqetësimet kryesore</w:t>
      </w:r>
      <w:r w:rsidR="00906051">
        <w:rPr>
          <w:rFonts w:ascii="Arial" w:hAnsi="Arial" w:cs="Arial"/>
          <w:sz w:val="32"/>
          <w:szCs w:val="32"/>
        </w:rPr>
        <w:t>,</w:t>
      </w:r>
      <w:r w:rsidR="00C344EC" w:rsidRPr="00D25594">
        <w:rPr>
          <w:rFonts w:ascii="Arial" w:hAnsi="Arial" w:cs="Arial"/>
          <w:sz w:val="32"/>
          <w:szCs w:val="32"/>
        </w:rPr>
        <w:t xml:space="preserve"> pasi lidhet me efektin që sjellin ndërhyrjet në treg të </w:t>
      </w:r>
      <w:r w:rsidR="00DF04E8">
        <w:rPr>
          <w:rFonts w:ascii="Arial" w:hAnsi="Arial" w:cs="Arial"/>
          <w:sz w:val="32"/>
          <w:szCs w:val="32"/>
        </w:rPr>
        <w:t>Autoritet</w:t>
      </w:r>
      <w:r w:rsidR="00C344EC" w:rsidRPr="00D25594">
        <w:rPr>
          <w:rFonts w:ascii="Arial" w:hAnsi="Arial" w:cs="Arial"/>
          <w:sz w:val="32"/>
          <w:szCs w:val="32"/>
        </w:rPr>
        <w:t xml:space="preserve">it të Konkurrencës. Në këtë këndvështrim </w:t>
      </w:r>
      <w:r w:rsidRPr="00D25594">
        <w:rPr>
          <w:rFonts w:ascii="Arial" w:hAnsi="Arial" w:cs="Arial"/>
          <w:sz w:val="32"/>
          <w:szCs w:val="32"/>
        </w:rPr>
        <w:t xml:space="preserve">funksionimi i </w:t>
      </w:r>
      <w:r w:rsidR="00C344EC" w:rsidRPr="00D25594">
        <w:rPr>
          <w:rFonts w:ascii="Arial" w:hAnsi="Arial" w:cs="Arial"/>
          <w:sz w:val="32"/>
          <w:szCs w:val="32"/>
        </w:rPr>
        <w:t>Gjykatës Administartive në fillim të këtij viti</w:t>
      </w:r>
      <w:r w:rsidR="00A7555F">
        <w:rPr>
          <w:rFonts w:ascii="Arial" w:hAnsi="Arial" w:cs="Arial"/>
          <w:sz w:val="32"/>
          <w:szCs w:val="32"/>
        </w:rPr>
        <w:t>, përbën</w:t>
      </w:r>
      <w:r w:rsidR="00C344EC" w:rsidRPr="00D25594">
        <w:rPr>
          <w:rFonts w:ascii="Arial" w:hAnsi="Arial" w:cs="Arial"/>
          <w:sz w:val="32"/>
          <w:szCs w:val="32"/>
        </w:rPr>
        <w:t xml:space="preserve"> një instrument shumë të rëndësishëm</w:t>
      </w:r>
      <w:r w:rsidR="00906051">
        <w:rPr>
          <w:rFonts w:ascii="Arial" w:hAnsi="Arial" w:cs="Arial"/>
          <w:sz w:val="32"/>
          <w:szCs w:val="32"/>
        </w:rPr>
        <w:t>,</w:t>
      </w:r>
      <w:r w:rsidR="00C344EC" w:rsidRPr="00D25594">
        <w:rPr>
          <w:rFonts w:ascii="Arial" w:hAnsi="Arial" w:cs="Arial"/>
          <w:sz w:val="32"/>
          <w:szCs w:val="32"/>
        </w:rPr>
        <w:t xml:space="preserve"> i cili do të ndikojë jo vetëm në shkurtimin e afateve, por pritet që edhe shkalla e ekspertizës së trajtimit të çështjeve të konkurrencës të përmirësohet nd</w:t>
      </w:r>
      <w:r w:rsidRPr="00D25594">
        <w:rPr>
          <w:rFonts w:ascii="Arial" w:hAnsi="Arial" w:cs="Arial"/>
          <w:sz w:val="32"/>
          <w:szCs w:val="32"/>
        </w:rPr>
        <w:t xml:space="preserve">jeshëm, duke </w:t>
      </w:r>
      <w:r w:rsidR="00A7555F">
        <w:rPr>
          <w:rFonts w:ascii="Arial" w:hAnsi="Arial" w:cs="Arial"/>
          <w:sz w:val="32"/>
          <w:szCs w:val="32"/>
        </w:rPr>
        <w:t xml:space="preserve">rritur sfidat e </w:t>
      </w:r>
      <w:r w:rsidR="00A7555F" w:rsidRPr="00D25594">
        <w:rPr>
          <w:rFonts w:ascii="Arial" w:hAnsi="Arial" w:cs="Arial"/>
          <w:sz w:val="32"/>
          <w:szCs w:val="32"/>
        </w:rPr>
        <w:t xml:space="preserve">institucionit në konkurrencës </w:t>
      </w:r>
      <w:r w:rsidR="00A7555F">
        <w:rPr>
          <w:rFonts w:ascii="Arial" w:hAnsi="Arial" w:cs="Arial"/>
          <w:sz w:val="32"/>
          <w:szCs w:val="32"/>
        </w:rPr>
        <w:t>p</w:t>
      </w:r>
      <w:r w:rsidR="003B5031">
        <w:rPr>
          <w:rFonts w:ascii="Arial" w:hAnsi="Arial" w:cs="Arial"/>
          <w:sz w:val="32"/>
          <w:szCs w:val="32"/>
        </w:rPr>
        <w:t>ë</w:t>
      </w:r>
      <w:r w:rsidR="00A7555F">
        <w:rPr>
          <w:rFonts w:ascii="Arial" w:hAnsi="Arial" w:cs="Arial"/>
          <w:sz w:val="32"/>
          <w:szCs w:val="32"/>
        </w:rPr>
        <w:t>r sigurimin e prov</w:t>
      </w:r>
      <w:r w:rsidR="003B5031">
        <w:rPr>
          <w:rFonts w:ascii="Arial" w:hAnsi="Arial" w:cs="Arial"/>
          <w:sz w:val="32"/>
          <w:szCs w:val="32"/>
        </w:rPr>
        <w:t>ë</w:t>
      </w:r>
      <w:r w:rsidR="00A7555F">
        <w:rPr>
          <w:rFonts w:ascii="Arial" w:hAnsi="Arial" w:cs="Arial"/>
          <w:sz w:val="32"/>
          <w:szCs w:val="32"/>
        </w:rPr>
        <w:t>s,</w:t>
      </w:r>
      <w:r w:rsidRPr="00D25594">
        <w:rPr>
          <w:rFonts w:ascii="Arial" w:hAnsi="Arial" w:cs="Arial"/>
          <w:sz w:val="32"/>
          <w:szCs w:val="32"/>
        </w:rPr>
        <w:t xml:space="preserve"> </w:t>
      </w:r>
      <w:r w:rsidR="00A7555F">
        <w:rPr>
          <w:rFonts w:ascii="Arial" w:hAnsi="Arial" w:cs="Arial"/>
          <w:sz w:val="32"/>
          <w:szCs w:val="32"/>
        </w:rPr>
        <w:t>p</w:t>
      </w:r>
      <w:r w:rsidR="003B5031">
        <w:rPr>
          <w:rFonts w:ascii="Arial" w:hAnsi="Arial" w:cs="Arial"/>
          <w:sz w:val="32"/>
          <w:szCs w:val="32"/>
        </w:rPr>
        <w:t>ë</w:t>
      </w:r>
      <w:r w:rsidR="00A7555F">
        <w:rPr>
          <w:rFonts w:ascii="Arial" w:hAnsi="Arial" w:cs="Arial"/>
          <w:sz w:val="32"/>
          <w:szCs w:val="32"/>
        </w:rPr>
        <w:t>rmir</w:t>
      </w:r>
      <w:r w:rsidR="003B5031">
        <w:rPr>
          <w:rFonts w:ascii="Arial" w:hAnsi="Arial" w:cs="Arial"/>
          <w:sz w:val="32"/>
          <w:szCs w:val="32"/>
        </w:rPr>
        <w:t>ë</w:t>
      </w:r>
      <w:r w:rsidR="00A7555F">
        <w:rPr>
          <w:rFonts w:ascii="Arial" w:hAnsi="Arial" w:cs="Arial"/>
          <w:sz w:val="32"/>
          <w:szCs w:val="32"/>
        </w:rPr>
        <w:t>simin e</w:t>
      </w:r>
      <w:r w:rsidR="00C344EC" w:rsidRPr="00D25594">
        <w:rPr>
          <w:rFonts w:ascii="Arial" w:hAnsi="Arial" w:cs="Arial"/>
          <w:sz w:val="32"/>
          <w:szCs w:val="32"/>
        </w:rPr>
        <w:t xml:space="preserve"> cilësisë së analizave si dhe të vendimmarrjes së Komisionit të Konkurrencës.</w:t>
      </w:r>
    </w:p>
    <w:p w:rsidR="00C344EC" w:rsidRPr="00D25594" w:rsidRDefault="00C344EC" w:rsidP="00C344EC">
      <w:pPr>
        <w:pStyle w:val="TOC2"/>
        <w:rPr>
          <w:rFonts w:ascii="Arial" w:hAnsi="Arial" w:cs="Arial"/>
          <w:sz w:val="32"/>
          <w:szCs w:val="32"/>
        </w:rPr>
      </w:pPr>
    </w:p>
    <w:p w:rsidR="00D25594" w:rsidRPr="00D25594" w:rsidRDefault="00C344EC" w:rsidP="00C344EC">
      <w:pPr>
        <w:jc w:val="both"/>
        <w:rPr>
          <w:rFonts w:ascii="Arial" w:hAnsi="Arial" w:cs="Arial"/>
          <w:sz w:val="32"/>
          <w:szCs w:val="32"/>
          <w:lang w:eastAsia="hu-HU"/>
        </w:rPr>
      </w:pPr>
      <w:r w:rsidRPr="00D25594">
        <w:rPr>
          <w:rFonts w:ascii="Arial" w:hAnsi="Arial" w:cs="Arial"/>
          <w:sz w:val="32"/>
          <w:szCs w:val="32"/>
          <w:lang w:eastAsia="hu-HU"/>
        </w:rPr>
        <w:t xml:space="preserve">Komisioni i Konkurrencës nuk ndërhyn në treg vetëm nëpërmjet instrumentit të gjobës për ndërmarrjet, por gjithashtu, për realizimin e misionit të tij për konkurrencë të lirë dhe efektive, përdor edhe instrumentin e </w:t>
      </w:r>
      <w:r w:rsidRPr="00D25594">
        <w:rPr>
          <w:rFonts w:ascii="Arial" w:hAnsi="Arial" w:cs="Arial"/>
          <w:b/>
          <w:sz w:val="32"/>
          <w:szCs w:val="32"/>
          <w:lang w:eastAsia="hu-HU"/>
        </w:rPr>
        <w:t>advokacisë,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 nëpërmejt vendimeve që adresojnë rekomandime për entet rregullatore të tregjeve specifike apo institucioneve të tjera qëndrore. </w:t>
      </w:r>
    </w:p>
    <w:p w:rsidR="00D25594" w:rsidRPr="00D25594" w:rsidRDefault="00D25594" w:rsidP="00C344EC">
      <w:pPr>
        <w:jc w:val="both"/>
        <w:rPr>
          <w:rFonts w:ascii="Arial" w:hAnsi="Arial" w:cs="Arial"/>
          <w:sz w:val="32"/>
          <w:szCs w:val="32"/>
          <w:lang w:eastAsia="hu-HU"/>
        </w:rPr>
      </w:pPr>
    </w:p>
    <w:p w:rsidR="00A7555F" w:rsidRDefault="00C344EC" w:rsidP="00C344EC">
      <w:pPr>
        <w:jc w:val="both"/>
        <w:rPr>
          <w:rFonts w:ascii="Arial" w:hAnsi="Arial" w:cs="Arial"/>
          <w:sz w:val="32"/>
          <w:szCs w:val="32"/>
          <w:lang w:eastAsia="hu-HU"/>
        </w:rPr>
      </w:pPr>
      <w:r w:rsidRPr="00D25594">
        <w:rPr>
          <w:rFonts w:ascii="Arial" w:hAnsi="Arial" w:cs="Arial"/>
          <w:sz w:val="32"/>
          <w:szCs w:val="32"/>
          <w:lang w:eastAsia="hu-HU"/>
        </w:rPr>
        <w:t xml:space="preserve">Prandaj, për rritjen e efektivitetit të ndërhyrjeve në treg, </w:t>
      </w:r>
      <w:r w:rsidR="00DF04E8">
        <w:rPr>
          <w:rFonts w:ascii="Arial" w:hAnsi="Arial" w:cs="Arial"/>
          <w:sz w:val="32"/>
          <w:szCs w:val="32"/>
          <w:lang w:eastAsia="hu-HU"/>
        </w:rPr>
        <w:t>Autoritet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i i Konkurrencës e konsideron jetike bashkëpunimin me entet rregullatore dhe institucionet publike, nëpërmjet të cilit zbatohet advokacia, si shtylla e katërt e </w:t>
      </w:r>
      <w:r w:rsidR="00906051">
        <w:rPr>
          <w:rFonts w:ascii="Arial" w:hAnsi="Arial" w:cs="Arial"/>
          <w:sz w:val="32"/>
          <w:szCs w:val="32"/>
          <w:lang w:eastAsia="hu-HU"/>
        </w:rPr>
        <w:t>L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igjit. Për këtë qëllim janë përmirësuar më tej </w:t>
      </w:r>
      <w:r w:rsidR="00906051">
        <w:rPr>
          <w:rFonts w:ascii="Arial" w:hAnsi="Arial" w:cs="Arial"/>
          <w:sz w:val="32"/>
          <w:szCs w:val="32"/>
          <w:lang w:eastAsia="hu-HU"/>
        </w:rPr>
        <w:t>mënyrat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 e komunikimit</w:t>
      </w:r>
      <w:r w:rsidR="00A7555F">
        <w:rPr>
          <w:rFonts w:ascii="Arial" w:hAnsi="Arial" w:cs="Arial"/>
          <w:sz w:val="32"/>
          <w:szCs w:val="32"/>
          <w:lang w:eastAsia="hu-HU"/>
        </w:rPr>
        <w:t>,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 jo vetëm në organizimin e tryezave të përbashkëta të bordeve vendimmarrëse, por edhe nëpërmjet takimeve për të ndarë shqetësimet apo opinionet midis ekspertëve të institucioneve</w:t>
      </w:r>
      <w:r w:rsidR="00A7555F">
        <w:rPr>
          <w:rFonts w:ascii="Arial" w:hAnsi="Arial" w:cs="Arial"/>
          <w:sz w:val="32"/>
          <w:szCs w:val="32"/>
          <w:lang w:eastAsia="hu-HU"/>
        </w:rPr>
        <w:t xml:space="preserve"> respektive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. </w:t>
      </w:r>
    </w:p>
    <w:p w:rsidR="00A7555F" w:rsidRDefault="00A7555F" w:rsidP="00C344EC">
      <w:pPr>
        <w:jc w:val="both"/>
        <w:rPr>
          <w:rFonts w:ascii="Arial" w:hAnsi="Arial" w:cs="Arial"/>
          <w:sz w:val="32"/>
          <w:szCs w:val="32"/>
          <w:lang w:eastAsia="hu-HU"/>
        </w:rPr>
      </w:pP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  <w:lang w:eastAsia="hu-HU"/>
        </w:rPr>
      </w:pPr>
      <w:r w:rsidRPr="00D25594">
        <w:rPr>
          <w:rFonts w:ascii="Arial" w:hAnsi="Arial" w:cs="Arial"/>
          <w:sz w:val="32"/>
          <w:szCs w:val="32"/>
          <w:lang w:eastAsia="hu-HU"/>
        </w:rPr>
        <w:t xml:space="preserve">Këto </w:t>
      </w:r>
      <w:r w:rsidR="00906051">
        <w:rPr>
          <w:rFonts w:ascii="Arial" w:hAnsi="Arial" w:cs="Arial"/>
          <w:sz w:val="32"/>
          <w:szCs w:val="32"/>
          <w:lang w:eastAsia="hu-HU"/>
        </w:rPr>
        <w:t>mënyra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 të komunikimit synojnë jo vetëm thjesht adresimin e rekomandimeve</w:t>
      </w:r>
      <w:r w:rsidR="00D25594" w:rsidRPr="00D25594">
        <w:rPr>
          <w:rFonts w:ascii="Arial" w:hAnsi="Arial" w:cs="Arial"/>
          <w:sz w:val="32"/>
          <w:szCs w:val="32"/>
          <w:lang w:eastAsia="hu-HU"/>
        </w:rPr>
        <w:t>,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 por edhe dikutimin mbi masat që </w:t>
      </w:r>
      <w:r w:rsidR="00D25594" w:rsidRPr="00D25594">
        <w:rPr>
          <w:rFonts w:ascii="Arial" w:hAnsi="Arial" w:cs="Arial"/>
          <w:sz w:val="32"/>
          <w:szCs w:val="32"/>
          <w:lang w:eastAsia="hu-HU"/>
        </w:rPr>
        <w:t>mund të ndërmerren në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  periudhat  afatshkurtra apo afatgjata</w:t>
      </w:r>
      <w:r w:rsidR="00D25594" w:rsidRPr="00D25594">
        <w:rPr>
          <w:rFonts w:ascii="Arial" w:hAnsi="Arial" w:cs="Arial"/>
          <w:sz w:val="32"/>
          <w:szCs w:val="32"/>
          <w:lang w:eastAsia="hu-HU"/>
        </w:rPr>
        <w:t>, të cilat synojnë mirë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funksionimin e tregjeve  të rregulluara. Këto praktika janë ndjekur me </w:t>
      </w:r>
      <w:r w:rsidR="00DF04E8">
        <w:rPr>
          <w:rFonts w:ascii="Arial" w:hAnsi="Arial" w:cs="Arial"/>
          <w:sz w:val="32"/>
          <w:szCs w:val="32"/>
          <w:lang w:eastAsia="hu-HU"/>
        </w:rPr>
        <w:t>Autoritet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in e Komunikimeve Elektronike dhe Postare (AKEP), Autroritetin e Mbikëqyrjes Financiare (AMF), Entin Rregullator të Energjisë (ERE) si dhe  </w:t>
      </w:r>
      <w:r w:rsidR="00DF04E8">
        <w:rPr>
          <w:rFonts w:ascii="Arial" w:hAnsi="Arial" w:cs="Arial"/>
          <w:sz w:val="32"/>
          <w:szCs w:val="32"/>
          <w:lang w:eastAsia="hu-HU"/>
        </w:rPr>
        <w:t>Autoritet</w:t>
      </w:r>
      <w:r w:rsidRPr="00D25594">
        <w:rPr>
          <w:rFonts w:ascii="Arial" w:hAnsi="Arial" w:cs="Arial"/>
          <w:sz w:val="32"/>
          <w:szCs w:val="32"/>
          <w:lang w:eastAsia="hu-HU"/>
        </w:rPr>
        <w:t>in e Aviacionit Civil</w:t>
      </w:r>
      <w:r w:rsidR="00906051">
        <w:rPr>
          <w:rFonts w:ascii="Arial" w:hAnsi="Arial" w:cs="Arial"/>
          <w:sz w:val="32"/>
          <w:szCs w:val="32"/>
          <w:lang w:eastAsia="hu-HU"/>
        </w:rPr>
        <w:t>.</w:t>
      </w: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Aspektet e advokacisë gjithmonë janë parë të lidhura ngushtë me aspektet e rritjes së </w:t>
      </w:r>
      <w:r w:rsidRPr="00D25594">
        <w:rPr>
          <w:rFonts w:ascii="Arial" w:hAnsi="Arial" w:cs="Arial"/>
          <w:b/>
          <w:sz w:val="32"/>
          <w:szCs w:val="32"/>
        </w:rPr>
        <w:t>kulturës së konkurrencës</w:t>
      </w:r>
      <w:r w:rsidRPr="00D25594">
        <w:rPr>
          <w:rFonts w:ascii="Arial" w:hAnsi="Arial" w:cs="Arial"/>
          <w:sz w:val="32"/>
          <w:szCs w:val="32"/>
        </w:rPr>
        <w:t xml:space="preserve">. </w:t>
      </w:r>
      <w:r w:rsidR="00A7555F" w:rsidRPr="00D25594">
        <w:rPr>
          <w:rFonts w:ascii="Arial" w:hAnsi="Arial" w:cs="Arial"/>
          <w:sz w:val="32"/>
          <w:szCs w:val="32"/>
        </w:rPr>
        <w:t>Risia e proçesit të miratimit të akteve nënligjore për vitin 2013 konsiston tek konsultimi publik</w:t>
      </w:r>
      <w:r w:rsidR="00906051">
        <w:rPr>
          <w:rFonts w:ascii="Arial" w:hAnsi="Arial" w:cs="Arial"/>
          <w:sz w:val="32"/>
          <w:szCs w:val="32"/>
        </w:rPr>
        <w:t>,</w:t>
      </w:r>
      <w:r w:rsidR="00A7555F" w:rsidRPr="00D25594">
        <w:rPr>
          <w:rFonts w:ascii="Arial" w:hAnsi="Arial" w:cs="Arial"/>
          <w:sz w:val="32"/>
          <w:szCs w:val="32"/>
        </w:rPr>
        <w:t xml:space="preserve"> duke u</w:t>
      </w:r>
      <w:r w:rsidR="00A7555F">
        <w:rPr>
          <w:rFonts w:ascii="Arial" w:hAnsi="Arial" w:cs="Arial"/>
          <w:sz w:val="32"/>
          <w:szCs w:val="32"/>
        </w:rPr>
        <w:t xml:space="preserve"> publikuar në faqen zyrtare të </w:t>
      </w:r>
      <w:r w:rsidR="00DF04E8">
        <w:rPr>
          <w:rFonts w:ascii="Arial" w:hAnsi="Arial" w:cs="Arial"/>
          <w:sz w:val="32"/>
          <w:szCs w:val="32"/>
        </w:rPr>
        <w:t>Autoritet</w:t>
      </w:r>
      <w:r w:rsidR="00A7555F" w:rsidRPr="00D25594">
        <w:rPr>
          <w:rFonts w:ascii="Arial" w:hAnsi="Arial" w:cs="Arial"/>
          <w:sz w:val="32"/>
          <w:szCs w:val="32"/>
        </w:rPr>
        <w:t>it dhe organizimi i tryezave të rrumbullakta me studiot ligjore</w:t>
      </w:r>
      <w:r w:rsidR="00A7555F">
        <w:rPr>
          <w:rFonts w:ascii="Arial" w:hAnsi="Arial" w:cs="Arial"/>
          <w:sz w:val="32"/>
          <w:szCs w:val="32"/>
        </w:rPr>
        <w:t>,</w:t>
      </w:r>
      <w:r w:rsidR="00A7555F" w:rsidRPr="00D25594">
        <w:rPr>
          <w:rFonts w:ascii="Arial" w:hAnsi="Arial" w:cs="Arial"/>
          <w:sz w:val="32"/>
          <w:szCs w:val="32"/>
        </w:rPr>
        <w:t xml:space="preserve"> të cilat paraqitën komentet dhe vlerësimet e tyre, si përdorues të drejtëpërdrejtë të së drejtës shqiptare të konkurrencës</w:t>
      </w:r>
      <w:r w:rsidR="00A7555F">
        <w:rPr>
          <w:rFonts w:ascii="Arial" w:hAnsi="Arial" w:cs="Arial"/>
          <w:sz w:val="32"/>
          <w:szCs w:val="32"/>
        </w:rPr>
        <w:t>. Partnerite</w:t>
      </w:r>
      <w:r w:rsidR="00906051">
        <w:rPr>
          <w:rFonts w:ascii="Arial" w:hAnsi="Arial" w:cs="Arial"/>
          <w:sz w:val="32"/>
          <w:szCs w:val="32"/>
        </w:rPr>
        <w:t>t</w:t>
      </w:r>
      <w:r w:rsidR="00A7555F">
        <w:rPr>
          <w:rFonts w:ascii="Arial" w:hAnsi="Arial" w:cs="Arial"/>
          <w:sz w:val="32"/>
          <w:szCs w:val="32"/>
        </w:rPr>
        <w:t xml:space="preserve">i me median e shkruar dhe vizive </w:t>
      </w:r>
      <w:r w:rsidR="003B5031">
        <w:rPr>
          <w:rFonts w:ascii="Arial" w:hAnsi="Arial" w:cs="Arial"/>
          <w:sz w:val="32"/>
          <w:szCs w:val="32"/>
        </w:rPr>
        <w:t>ë</w:t>
      </w:r>
      <w:r w:rsidR="00A7555F">
        <w:rPr>
          <w:rFonts w:ascii="Arial" w:hAnsi="Arial" w:cs="Arial"/>
          <w:sz w:val="32"/>
          <w:szCs w:val="32"/>
        </w:rPr>
        <w:t>sht</w:t>
      </w:r>
      <w:r w:rsidR="003B5031">
        <w:rPr>
          <w:rFonts w:ascii="Arial" w:hAnsi="Arial" w:cs="Arial"/>
          <w:sz w:val="32"/>
          <w:szCs w:val="32"/>
        </w:rPr>
        <w:t>ë</w:t>
      </w:r>
      <w:r w:rsidR="00A7555F">
        <w:rPr>
          <w:rFonts w:ascii="Arial" w:hAnsi="Arial" w:cs="Arial"/>
          <w:sz w:val="32"/>
          <w:szCs w:val="32"/>
        </w:rPr>
        <w:t xml:space="preserve"> konsideruar si nj</w:t>
      </w:r>
      <w:r w:rsidR="003B5031">
        <w:rPr>
          <w:rFonts w:ascii="Arial" w:hAnsi="Arial" w:cs="Arial"/>
          <w:sz w:val="32"/>
          <w:szCs w:val="32"/>
        </w:rPr>
        <w:t>ë</w:t>
      </w:r>
      <w:r w:rsidR="00A7555F">
        <w:rPr>
          <w:rFonts w:ascii="Arial" w:hAnsi="Arial" w:cs="Arial"/>
          <w:sz w:val="32"/>
          <w:szCs w:val="32"/>
        </w:rPr>
        <w:t xml:space="preserve"> instrument shum</w:t>
      </w:r>
      <w:r w:rsidR="003B5031">
        <w:rPr>
          <w:rFonts w:ascii="Arial" w:hAnsi="Arial" w:cs="Arial"/>
          <w:sz w:val="32"/>
          <w:szCs w:val="32"/>
        </w:rPr>
        <w:t>ë</w:t>
      </w:r>
      <w:r w:rsidR="00A7555F">
        <w:rPr>
          <w:rFonts w:ascii="Arial" w:hAnsi="Arial" w:cs="Arial"/>
          <w:sz w:val="32"/>
          <w:szCs w:val="32"/>
        </w:rPr>
        <w:t xml:space="preserve"> i r</w:t>
      </w:r>
      <w:r w:rsidR="003B5031">
        <w:rPr>
          <w:rFonts w:ascii="Arial" w:hAnsi="Arial" w:cs="Arial"/>
          <w:sz w:val="32"/>
          <w:szCs w:val="32"/>
        </w:rPr>
        <w:t>ë</w:t>
      </w:r>
      <w:r w:rsidR="00A7555F">
        <w:rPr>
          <w:rFonts w:ascii="Arial" w:hAnsi="Arial" w:cs="Arial"/>
          <w:sz w:val="32"/>
          <w:szCs w:val="32"/>
        </w:rPr>
        <w:t>nd</w:t>
      </w:r>
      <w:r w:rsidR="003B5031">
        <w:rPr>
          <w:rFonts w:ascii="Arial" w:hAnsi="Arial" w:cs="Arial"/>
          <w:sz w:val="32"/>
          <w:szCs w:val="32"/>
        </w:rPr>
        <w:t>ë</w:t>
      </w:r>
      <w:r w:rsidR="00A7555F">
        <w:rPr>
          <w:rFonts w:ascii="Arial" w:hAnsi="Arial" w:cs="Arial"/>
          <w:sz w:val="32"/>
          <w:szCs w:val="32"/>
        </w:rPr>
        <w:t>sish</w:t>
      </w:r>
      <w:r w:rsidR="003B5031">
        <w:rPr>
          <w:rFonts w:ascii="Arial" w:hAnsi="Arial" w:cs="Arial"/>
          <w:sz w:val="32"/>
          <w:szCs w:val="32"/>
        </w:rPr>
        <w:t>ë</w:t>
      </w:r>
      <w:r w:rsidR="00A7555F">
        <w:rPr>
          <w:rFonts w:ascii="Arial" w:hAnsi="Arial" w:cs="Arial"/>
          <w:sz w:val="32"/>
          <w:szCs w:val="32"/>
        </w:rPr>
        <w:t>m p</w:t>
      </w:r>
      <w:r w:rsidR="003B5031">
        <w:rPr>
          <w:rFonts w:ascii="Arial" w:hAnsi="Arial" w:cs="Arial"/>
          <w:sz w:val="32"/>
          <w:szCs w:val="32"/>
        </w:rPr>
        <w:t>ë</w:t>
      </w:r>
      <w:r w:rsidR="00A7555F">
        <w:rPr>
          <w:rFonts w:ascii="Arial" w:hAnsi="Arial" w:cs="Arial"/>
          <w:sz w:val="32"/>
          <w:szCs w:val="32"/>
        </w:rPr>
        <w:t>r t</w:t>
      </w:r>
      <w:r w:rsidR="003B5031">
        <w:rPr>
          <w:rFonts w:ascii="Arial" w:hAnsi="Arial" w:cs="Arial"/>
          <w:sz w:val="32"/>
          <w:szCs w:val="32"/>
        </w:rPr>
        <w:t>ë</w:t>
      </w:r>
      <w:r w:rsidR="00A7555F">
        <w:rPr>
          <w:rFonts w:ascii="Arial" w:hAnsi="Arial" w:cs="Arial"/>
          <w:sz w:val="32"/>
          <w:szCs w:val="32"/>
        </w:rPr>
        <w:t xml:space="preserve"> p</w:t>
      </w:r>
      <w:r w:rsidR="003B5031">
        <w:rPr>
          <w:rFonts w:ascii="Arial" w:hAnsi="Arial" w:cs="Arial"/>
          <w:sz w:val="32"/>
          <w:szCs w:val="32"/>
        </w:rPr>
        <w:t>ë</w:t>
      </w:r>
      <w:r w:rsidR="00A7555F">
        <w:rPr>
          <w:rFonts w:ascii="Arial" w:hAnsi="Arial" w:cs="Arial"/>
          <w:sz w:val="32"/>
          <w:szCs w:val="32"/>
        </w:rPr>
        <w:t>rcjell</w:t>
      </w:r>
      <w:r w:rsidR="00906051">
        <w:rPr>
          <w:rFonts w:ascii="Arial" w:hAnsi="Arial" w:cs="Arial"/>
          <w:sz w:val="32"/>
          <w:szCs w:val="32"/>
        </w:rPr>
        <w:t>ë</w:t>
      </w:r>
      <w:r w:rsidR="00A7555F">
        <w:rPr>
          <w:rFonts w:ascii="Arial" w:hAnsi="Arial" w:cs="Arial"/>
          <w:sz w:val="32"/>
          <w:szCs w:val="32"/>
        </w:rPr>
        <w:t xml:space="preserve"> tek publiku</w:t>
      </w:r>
      <w:r w:rsidRPr="00D25594">
        <w:rPr>
          <w:rFonts w:ascii="Arial" w:hAnsi="Arial" w:cs="Arial"/>
          <w:sz w:val="32"/>
          <w:szCs w:val="32"/>
        </w:rPr>
        <w:t xml:space="preserve"> si dhe sensibilizuar palët e interesit nëpërmjet njoftimeve koherente të gjitha vendimet finale t</w:t>
      </w:r>
      <w:r w:rsidR="00906051">
        <w:rPr>
          <w:rFonts w:ascii="Arial" w:hAnsi="Arial" w:cs="Arial"/>
          <w:sz w:val="32"/>
          <w:szCs w:val="32"/>
        </w:rPr>
        <w:t>ë</w:t>
      </w:r>
      <w:r w:rsidRPr="00D25594">
        <w:rPr>
          <w:rFonts w:ascii="Arial" w:hAnsi="Arial" w:cs="Arial"/>
          <w:sz w:val="32"/>
          <w:szCs w:val="32"/>
        </w:rPr>
        <w:t xml:space="preserve"> Komisionit të Konkurrencës.</w:t>
      </w:r>
    </w:p>
    <w:p w:rsidR="00C344EC" w:rsidRPr="00D25594" w:rsidRDefault="00C344EC" w:rsidP="00C344EC">
      <w:pPr>
        <w:jc w:val="both"/>
        <w:rPr>
          <w:rFonts w:ascii="Arial" w:hAnsi="Arial" w:cs="Arial"/>
          <w:b/>
          <w:sz w:val="32"/>
          <w:szCs w:val="32"/>
        </w:rPr>
      </w:pP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b/>
          <w:sz w:val="32"/>
          <w:szCs w:val="32"/>
        </w:rPr>
        <w:t xml:space="preserve">Forcimi i kapaciteteve </w:t>
      </w:r>
      <w:r w:rsidRPr="00D25594">
        <w:rPr>
          <w:rFonts w:ascii="Arial" w:hAnsi="Arial" w:cs="Arial"/>
          <w:sz w:val="32"/>
          <w:szCs w:val="32"/>
        </w:rPr>
        <w:t xml:space="preserve">institucionale të </w:t>
      </w:r>
      <w:r w:rsidR="00DF04E8">
        <w:rPr>
          <w:rFonts w:ascii="Arial" w:hAnsi="Arial" w:cs="Arial"/>
          <w:sz w:val="32"/>
          <w:szCs w:val="32"/>
        </w:rPr>
        <w:t>Autoritet</w:t>
      </w:r>
      <w:r w:rsidR="00906051">
        <w:rPr>
          <w:rFonts w:ascii="Arial" w:hAnsi="Arial" w:cs="Arial"/>
          <w:sz w:val="32"/>
          <w:szCs w:val="32"/>
        </w:rPr>
        <w:t xml:space="preserve">it </w:t>
      </w:r>
      <w:r w:rsidRPr="00D25594">
        <w:rPr>
          <w:rFonts w:ascii="Arial" w:hAnsi="Arial" w:cs="Arial"/>
          <w:sz w:val="32"/>
          <w:szCs w:val="32"/>
        </w:rPr>
        <w:t xml:space="preserve">të </w:t>
      </w:r>
      <w:r w:rsidR="00906051">
        <w:rPr>
          <w:rFonts w:ascii="Arial" w:hAnsi="Arial" w:cs="Arial"/>
          <w:sz w:val="32"/>
          <w:szCs w:val="32"/>
        </w:rPr>
        <w:t>K</w:t>
      </w:r>
      <w:r w:rsidRPr="00D25594">
        <w:rPr>
          <w:rFonts w:ascii="Arial" w:hAnsi="Arial" w:cs="Arial"/>
          <w:sz w:val="32"/>
          <w:szCs w:val="32"/>
        </w:rPr>
        <w:t xml:space="preserve">onkurrencës </w:t>
      </w:r>
      <w:r w:rsidR="00D25594" w:rsidRPr="00D25594">
        <w:rPr>
          <w:rFonts w:ascii="Arial" w:hAnsi="Arial" w:cs="Arial"/>
          <w:sz w:val="32"/>
          <w:szCs w:val="32"/>
        </w:rPr>
        <w:t xml:space="preserve">përbën objektivin </w:t>
      </w:r>
      <w:r w:rsidRPr="00D25594">
        <w:rPr>
          <w:rFonts w:ascii="Arial" w:hAnsi="Arial" w:cs="Arial"/>
          <w:sz w:val="32"/>
          <w:szCs w:val="32"/>
        </w:rPr>
        <w:t>dhe një nga sfidat e vazhdueshme për t’ju përgjigjur me ndërhyrje</w:t>
      </w:r>
      <w:r w:rsidR="00D25594" w:rsidRPr="00D25594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gjithnjë e më të shpejta e me cilësi</w:t>
      </w:r>
      <w:r w:rsidR="00D25594" w:rsidRPr="00D25594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kërkesave për mbrojtjen dhe nxitjen e konkurrencës midis lojtarëve të tregut. Krahas kualifikimit të vazhdueshëm, është përdorur</w:t>
      </w:r>
      <w:r w:rsidR="003B5031">
        <w:rPr>
          <w:rFonts w:ascii="Arial" w:hAnsi="Arial" w:cs="Arial"/>
          <w:sz w:val="32"/>
          <w:szCs w:val="32"/>
        </w:rPr>
        <w:t xml:space="preserve"> </w:t>
      </w:r>
      <w:r w:rsidR="00DF04E8">
        <w:rPr>
          <w:rFonts w:ascii="Arial" w:hAnsi="Arial" w:cs="Arial"/>
          <w:sz w:val="32"/>
          <w:szCs w:val="32"/>
        </w:rPr>
        <w:t>analizimi</w:t>
      </w:r>
      <w:r w:rsidRPr="00D25594">
        <w:rPr>
          <w:rFonts w:ascii="Arial" w:hAnsi="Arial" w:cs="Arial"/>
          <w:sz w:val="32"/>
          <w:szCs w:val="32"/>
        </w:rPr>
        <w:t xml:space="preserve"> i rasteve pasi </w:t>
      </w:r>
      <w:r w:rsidR="00D2785C">
        <w:rPr>
          <w:rFonts w:ascii="Arial" w:hAnsi="Arial" w:cs="Arial"/>
          <w:sz w:val="32"/>
          <w:szCs w:val="32"/>
        </w:rPr>
        <w:t xml:space="preserve">ka </w:t>
      </w:r>
      <w:r w:rsidRPr="00D25594">
        <w:rPr>
          <w:rFonts w:ascii="Arial" w:hAnsi="Arial" w:cs="Arial"/>
          <w:sz w:val="32"/>
          <w:szCs w:val="32"/>
        </w:rPr>
        <w:t>përfund</w:t>
      </w:r>
      <w:r w:rsidR="00D2785C">
        <w:rPr>
          <w:rFonts w:ascii="Arial" w:hAnsi="Arial" w:cs="Arial"/>
          <w:sz w:val="32"/>
          <w:szCs w:val="32"/>
        </w:rPr>
        <w:t>uar</w:t>
      </w:r>
      <w:r w:rsidRPr="00D25594">
        <w:rPr>
          <w:rFonts w:ascii="Arial" w:hAnsi="Arial" w:cs="Arial"/>
          <w:sz w:val="32"/>
          <w:szCs w:val="32"/>
        </w:rPr>
        <w:t xml:space="preserve"> tërësisht proçesi, pra edhe vendimmarrja e Komisionit, nga punonjësit e Sekretariartit të konkurrencës. Ky proçe</w:t>
      </w:r>
      <w:r w:rsidR="00D25594" w:rsidRPr="00D25594">
        <w:rPr>
          <w:rFonts w:ascii="Arial" w:hAnsi="Arial" w:cs="Arial"/>
          <w:sz w:val="32"/>
          <w:szCs w:val="32"/>
        </w:rPr>
        <w:t>s</w:t>
      </w:r>
      <w:r w:rsidRPr="00D25594">
        <w:rPr>
          <w:rFonts w:ascii="Arial" w:hAnsi="Arial" w:cs="Arial"/>
          <w:sz w:val="32"/>
          <w:szCs w:val="32"/>
        </w:rPr>
        <w:t xml:space="preserve"> është konsideruar si një instrument për të mësuar nga ato elemente të proçedurës apo analizave ekonomike, apo të sigurimit të provës</w:t>
      </w:r>
      <w:r w:rsidR="00D2785C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që nuk janë p</w:t>
      </w:r>
      <w:r w:rsidR="00DF04E8">
        <w:rPr>
          <w:rFonts w:ascii="Arial" w:hAnsi="Arial" w:cs="Arial"/>
          <w:sz w:val="32"/>
          <w:szCs w:val="32"/>
        </w:rPr>
        <w:t>ë</w:t>
      </w:r>
      <w:r w:rsidRPr="00D25594">
        <w:rPr>
          <w:rFonts w:ascii="Arial" w:hAnsi="Arial" w:cs="Arial"/>
          <w:sz w:val="32"/>
          <w:szCs w:val="32"/>
        </w:rPr>
        <w:t xml:space="preserve">rformuar me cilësi. Pra të mësuarit nga </w:t>
      </w:r>
      <w:r w:rsidR="00D24499">
        <w:rPr>
          <w:rFonts w:ascii="Arial" w:hAnsi="Arial" w:cs="Arial"/>
          <w:sz w:val="32"/>
          <w:szCs w:val="32"/>
        </w:rPr>
        <w:t xml:space="preserve">eksperiencat problematike </w:t>
      </w:r>
      <w:r w:rsidRPr="00D25594">
        <w:rPr>
          <w:rFonts w:ascii="Arial" w:hAnsi="Arial" w:cs="Arial"/>
          <w:sz w:val="32"/>
          <w:szCs w:val="32"/>
        </w:rPr>
        <w:t xml:space="preserve">është një nga </w:t>
      </w:r>
      <w:r w:rsidR="00DF04E8">
        <w:rPr>
          <w:rFonts w:ascii="Arial" w:hAnsi="Arial" w:cs="Arial"/>
          <w:sz w:val="32"/>
          <w:szCs w:val="32"/>
        </w:rPr>
        <w:t>mjetet</w:t>
      </w:r>
      <w:r w:rsidRPr="00D25594">
        <w:rPr>
          <w:rFonts w:ascii="Arial" w:hAnsi="Arial" w:cs="Arial"/>
          <w:sz w:val="32"/>
          <w:szCs w:val="32"/>
        </w:rPr>
        <w:t xml:space="preserve"> e tjerë që po përdor institucioni i konkurrencës.</w:t>
      </w: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  <w:lang w:eastAsia="hu-HU"/>
        </w:rPr>
      </w:pPr>
    </w:p>
    <w:p w:rsidR="00D22689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Profili publik i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>it të Konkurrencës ka njohur zhvillime intensive gjatë vitit 2013</w:t>
      </w:r>
      <w:r w:rsidR="00D24499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duke shënuar rritje të kulturës dhe shkallës së njohjes së </w:t>
      </w:r>
      <w:r w:rsidR="00DF04E8">
        <w:rPr>
          <w:rFonts w:ascii="Arial" w:hAnsi="Arial" w:cs="Arial"/>
          <w:sz w:val="32"/>
          <w:szCs w:val="32"/>
        </w:rPr>
        <w:t>L</w:t>
      </w:r>
      <w:r w:rsidRPr="00D25594">
        <w:rPr>
          <w:rFonts w:ascii="Arial" w:hAnsi="Arial" w:cs="Arial"/>
          <w:sz w:val="32"/>
          <w:szCs w:val="32"/>
        </w:rPr>
        <w:t xml:space="preserve">igjit dhe </w:t>
      </w:r>
      <w:r w:rsidR="00DF04E8">
        <w:rPr>
          <w:rFonts w:ascii="Arial" w:hAnsi="Arial" w:cs="Arial"/>
          <w:sz w:val="32"/>
          <w:szCs w:val="32"/>
        </w:rPr>
        <w:t>P</w:t>
      </w:r>
      <w:r w:rsidRPr="00D25594">
        <w:rPr>
          <w:rFonts w:ascii="Arial" w:hAnsi="Arial" w:cs="Arial"/>
          <w:sz w:val="32"/>
          <w:szCs w:val="32"/>
        </w:rPr>
        <w:t xml:space="preserve">olitikës së </w:t>
      </w:r>
      <w:r w:rsidR="00DF04E8">
        <w:rPr>
          <w:rFonts w:ascii="Arial" w:hAnsi="Arial" w:cs="Arial"/>
          <w:sz w:val="32"/>
          <w:szCs w:val="32"/>
        </w:rPr>
        <w:t>K</w:t>
      </w:r>
      <w:r w:rsidRPr="00D25594">
        <w:rPr>
          <w:rFonts w:ascii="Arial" w:hAnsi="Arial" w:cs="Arial"/>
          <w:sz w:val="32"/>
          <w:szCs w:val="32"/>
        </w:rPr>
        <w:t>onkurrencës në Shqipëri. Një sërë artikujsh në median e shkruar dhe atë vizive mbi vendimmarrjen e Komisionit të Konkurrencës, pjesëmarrja aktive në konferenca dhe</w:t>
      </w:r>
      <w:r w:rsidR="00D2785C">
        <w:rPr>
          <w:rFonts w:ascii="Arial" w:hAnsi="Arial" w:cs="Arial"/>
          <w:sz w:val="32"/>
          <w:szCs w:val="32"/>
        </w:rPr>
        <w:t xml:space="preserve"> workshope nga përfaqësuesit e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 xml:space="preserve">it dhe prezantimet e ekspertëve në konferencat ndërkombëtare kanë ndikuar në rritjen e profilit publik në </w:t>
      </w:r>
      <w:r w:rsidRPr="00D25594">
        <w:rPr>
          <w:rFonts w:ascii="Arial" w:hAnsi="Arial" w:cs="Arial"/>
          <w:sz w:val="32"/>
          <w:szCs w:val="32"/>
        </w:rPr>
        <w:lastRenderedPageBreak/>
        <w:t xml:space="preserve">ambjentin e brendshëm dhe në atë ndërkombëtar të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 xml:space="preserve">it të Konkurrencës. </w:t>
      </w:r>
    </w:p>
    <w:p w:rsidR="00D25594" w:rsidRPr="00D25594" w:rsidRDefault="00D25594" w:rsidP="00C344EC">
      <w:pPr>
        <w:jc w:val="both"/>
        <w:rPr>
          <w:rFonts w:ascii="Arial" w:hAnsi="Arial" w:cs="Arial"/>
          <w:sz w:val="32"/>
          <w:szCs w:val="32"/>
        </w:rPr>
      </w:pPr>
    </w:p>
    <w:p w:rsidR="00C344EC" w:rsidRPr="00DF04E8" w:rsidRDefault="00AE0C2F" w:rsidP="00DF04E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Të nde</w:t>
      </w:r>
      <w:r w:rsidR="00D25594" w:rsidRPr="00D25594">
        <w:rPr>
          <w:rFonts w:ascii="Arial" w:hAnsi="Arial" w:cs="Arial"/>
          <w:b/>
          <w:sz w:val="32"/>
          <w:szCs w:val="32"/>
        </w:rPr>
        <w:t xml:space="preserve">ruar deputetë, </w:t>
      </w:r>
    </w:p>
    <w:p w:rsidR="00D2785C" w:rsidRDefault="00C344EC" w:rsidP="00C344EC">
      <w:pPr>
        <w:spacing w:before="24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Misioni për një ekonomi sa më funksionale të tregut përbën edhe vizionin e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 xml:space="preserve">it të Konkurrencës, i cili është detajuar duke përcaktuar prioritetet për vitin 2014. </w:t>
      </w:r>
    </w:p>
    <w:p w:rsidR="00D2785C" w:rsidRDefault="00D2785C" w:rsidP="00C344EC">
      <w:pPr>
        <w:spacing w:before="2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Eksperiencat e deritanishme në</w:t>
      </w:r>
      <w:r w:rsidR="00C344EC" w:rsidRPr="00D25594">
        <w:rPr>
          <w:rFonts w:ascii="Arial" w:hAnsi="Arial" w:cs="Arial"/>
          <w:sz w:val="32"/>
          <w:szCs w:val="32"/>
        </w:rPr>
        <w:t xml:space="preserve"> zbatimin e ligjit treguan se : </w:t>
      </w:r>
    </w:p>
    <w:p w:rsidR="00D2785C" w:rsidRPr="00AE0C2F" w:rsidRDefault="00C344EC" w:rsidP="00AE0C2F">
      <w:pPr>
        <w:pStyle w:val="ListParagraph"/>
        <w:numPr>
          <w:ilvl w:val="0"/>
          <w:numId w:val="6"/>
        </w:numPr>
        <w:spacing w:before="240"/>
        <w:jc w:val="both"/>
        <w:rPr>
          <w:rFonts w:ascii="Arial" w:hAnsi="Arial" w:cs="Arial"/>
          <w:sz w:val="32"/>
          <w:szCs w:val="32"/>
        </w:rPr>
      </w:pPr>
      <w:r w:rsidRPr="00AE0C2F">
        <w:rPr>
          <w:rFonts w:ascii="Arial" w:hAnsi="Arial" w:cs="Arial"/>
          <w:sz w:val="32"/>
          <w:szCs w:val="32"/>
        </w:rPr>
        <w:t>Përsosja e instrumentave investigativë</w:t>
      </w:r>
      <w:r w:rsidR="00D2785C" w:rsidRPr="00AE0C2F">
        <w:rPr>
          <w:rFonts w:ascii="Arial" w:hAnsi="Arial" w:cs="Arial"/>
          <w:sz w:val="32"/>
          <w:szCs w:val="32"/>
        </w:rPr>
        <w:t>,</w:t>
      </w:r>
      <w:r w:rsidRPr="00AE0C2F">
        <w:rPr>
          <w:rFonts w:ascii="Arial" w:hAnsi="Arial" w:cs="Arial"/>
          <w:sz w:val="32"/>
          <w:szCs w:val="32"/>
        </w:rPr>
        <w:t xml:space="preserve"> nëpërmjet rritjes së shkallës së ekspertizës të inspektorëve të konkurrencës, për të mundësuar evidencat  direkte në rastet e marrëveshjeve të fs</w:t>
      </w:r>
      <w:r w:rsidR="00D2785C" w:rsidRPr="00AE0C2F">
        <w:rPr>
          <w:rFonts w:ascii="Arial" w:hAnsi="Arial" w:cs="Arial"/>
          <w:sz w:val="32"/>
          <w:szCs w:val="32"/>
        </w:rPr>
        <w:t>hehta midis lojtarëve të tregut;</w:t>
      </w:r>
      <w:r w:rsidRPr="00AE0C2F">
        <w:rPr>
          <w:rFonts w:ascii="Arial" w:hAnsi="Arial" w:cs="Arial"/>
          <w:sz w:val="32"/>
          <w:szCs w:val="32"/>
        </w:rPr>
        <w:t xml:space="preserve"> </w:t>
      </w:r>
    </w:p>
    <w:p w:rsidR="00D2785C" w:rsidRPr="00AE0C2F" w:rsidRDefault="00C344EC" w:rsidP="00AE0C2F">
      <w:pPr>
        <w:pStyle w:val="ListParagraph"/>
        <w:numPr>
          <w:ilvl w:val="0"/>
          <w:numId w:val="6"/>
        </w:numPr>
        <w:spacing w:before="240"/>
        <w:jc w:val="both"/>
        <w:rPr>
          <w:rFonts w:ascii="Arial" w:hAnsi="Arial" w:cs="Arial"/>
          <w:sz w:val="32"/>
          <w:szCs w:val="32"/>
        </w:rPr>
      </w:pPr>
      <w:r w:rsidRPr="00AE0C2F">
        <w:rPr>
          <w:rFonts w:ascii="Arial" w:hAnsi="Arial" w:cs="Arial"/>
          <w:sz w:val="32"/>
          <w:szCs w:val="32"/>
        </w:rPr>
        <w:t>thellimi i njohurive në përdorimin e teknikave të analizav</w:t>
      </w:r>
      <w:r w:rsidR="00D2785C" w:rsidRPr="00AE0C2F">
        <w:rPr>
          <w:rFonts w:ascii="Arial" w:hAnsi="Arial" w:cs="Arial"/>
          <w:sz w:val="32"/>
          <w:szCs w:val="32"/>
        </w:rPr>
        <w:t>e ekonomike, për argumentimin më të plotë të</w:t>
      </w:r>
      <w:r w:rsidRPr="00AE0C2F">
        <w:rPr>
          <w:rFonts w:ascii="Arial" w:hAnsi="Arial" w:cs="Arial"/>
          <w:sz w:val="32"/>
          <w:szCs w:val="32"/>
        </w:rPr>
        <w:t xml:space="preserve"> abuzimeve me pozitën dominuese, apo realizimin e provës në rastet e mungesës së evidencave direkte në sjelljet e ba</w:t>
      </w:r>
      <w:r w:rsidR="00D2785C" w:rsidRPr="00AE0C2F">
        <w:rPr>
          <w:rFonts w:ascii="Arial" w:hAnsi="Arial" w:cs="Arial"/>
          <w:sz w:val="32"/>
          <w:szCs w:val="32"/>
        </w:rPr>
        <w:t>shkërenduara midis ndërmarrjeve;</w:t>
      </w:r>
    </w:p>
    <w:p w:rsidR="00C344EC" w:rsidRPr="00D25594" w:rsidRDefault="00C344EC" w:rsidP="00C344EC">
      <w:pPr>
        <w:spacing w:before="24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përbëjnë prioritetet kryesore të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 xml:space="preserve">it të Konkurrencës, pasi ndikojnë ndjeshëm në rritjen e eficencës së ndryrjes në treg. </w:t>
      </w:r>
    </w:p>
    <w:p w:rsidR="00FF6589" w:rsidRDefault="00FF6589" w:rsidP="00C344EC">
      <w:pPr>
        <w:jc w:val="both"/>
        <w:rPr>
          <w:rFonts w:ascii="Arial" w:hAnsi="Arial" w:cs="Arial"/>
          <w:sz w:val="32"/>
          <w:szCs w:val="32"/>
          <w:lang w:eastAsia="hu-HU"/>
        </w:rPr>
      </w:pPr>
    </w:p>
    <w:p w:rsidR="00AA0EEA" w:rsidRDefault="00AA28A9" w:rsidP="00C344EC">
      <w:pPr>
        <w:jc w:val="both"/>
        <w:rPr>
          <w:rFonts w:ascii="Arial" w:hAnsi="Arial" w:cs="Arial"/>
          <w:sz w:val="32"/>
          <w:szCs w:val="32"/>
          <w:lang w:eastAsia="hu-HU"/>
        </w:rPr>
      </w:pPr>
      <w:r w:rsidRPr="00FF6589">
        <w:rPr>
          <w:rFonts w:ascii="Arial" w:hAnsi="Arial" w:cs="Arial"/>
          <w:b/>
          <w:sz w:val="32"/>
          <w:szCs w:val="32"/>
          <w:lang w:eastAsia="hu-HU"/>
        </w:rPr>
        <w:t>Zbatimi i ligjit</w:t>
      </w:r>
      <w:r>
        <w:rPr>
          <w:rFonts w:ascii="Arial" w:hAnsi="Arial" w:cs="Arial"/>
          <w:sz w:val="32"/>
          <w:szCs w:val="32"/>
          <w:lang w:eastAsia="hu-HU"/>
        </w:rPr>
        <w:t xml:space="preserve"> p</w:t>
      </w:r>
      <w:r w:rsidR="00AA0EEA">
        <w:rPr>
          <w:rFonts w:ascii="Arial" w:hAnsi="Arial" w:cs="Arial"/>
          <w:sz w:val="32"/>
          <w:szCs w:val="32"/>
          <w:lang w:eastAsia="hu-HU"/>
        </w:rPr>
        <w:t>ë</w:t>
      </w:r>
      <w:r>
        <w:rPr>
          <w:rFonts w:ascii="Arial" w:hAnsi="Arial" w:cs="Arial"/>
          <w:sz w:val="32"/>
          <w:szCs w:val="32"/>
          <w:lang w:eastAsia="hu-HU"/>
        </w:rPr>
        <w:t xml:space="preserve">r mbrojtjen e </w:t>
      </w:r>
      <w:r w:rsidR="00AA0EEA">
        <w:rPr>
          <w:rFonts w:ascii="Arial" w:hAnsi="Arial" w:cs="Arial"/>
          <w:sz w:val="32"/>
          <w:szCs w:val="32"/>
          <w:lang w:eastAsia="hu-HU"/>
        </w:rPr>
        <w:t xml:space="preserve">konkurrencës </w:t>
      </w:r>
      <w:r>
        <w:rPr>
          <w:rFonts w:ascii="Arial" w:hAnsi="Arial" w:cs="Arial"/>
          <w:sz w:val="32"/>
          <w:szCs w:val="32"/>
          <w:lang w:eastAsia="hu-HU"/>
        </w:rPr>
        <w:t>nga praktikat antikonkurruese do t</w:t>
      </w:r>
      <w:r w:rsidR="00AA0EEA">
        <w:rPr>
          <w:rFonts w:ascii="Arial" w:hAnsi="Arial" w:cs="Arial"/>
          <w:sz w:val="32"/>
          <w:szCs w:val="32"/>
          <w:lang w:eastAsia="hu-HU"/>
        </w:rPr>
        <w:t>ë</w:t>
      </w:r>
      <w:r>
        <w:rPr>
          <w:rFonts w:ascii="Arial" w:hAnsi="Arial" w:cs="Arial"/>
          <w:sz w:val="32"/>
          <w:szCs w:val="32"/>
          <w:lang w:eastAsia="hu-HU"/>
        </w:rPr>
        <w:t xml:space="preserve"> realizohet jo vetem p</w:t>
      </w:r>
      <w:r w:rsidR="00AA0EEA">
        <w:rPr>
          <w:rFonts w:ascii="Arial" w:hAnsi="Arial" w:cs="Arial"/>
          <w:sz w:val="32"/>
          <w:szCs w:val="32"/>
          <w:lang w:eastAsia="hu-HU"/>
        </w:rPr>
        <w:t>ë</w:t>
      </w:r>
      <w:r>
        <w:rPr>
          <w:rFonts w:ascii="Arial" w:hAnsi="Arial" w:cs="Arial"/>
          <w:sz w:val="32"/>
          <w:szCs w:val="32"/>
          <w:lang w:eastAsia="hu-HU"/>
        </w:rPr>
        <w:t>r tregjet q</w:t>
      </w:r>
      <w:r w:rsidR="00AA0EEA">
        <w:rPr>
          <w:rFonts w:ascii="Arial" w:hAnsi="Arial" w:cs="Arial"/>
          <w:sz w:val="32"/>
          <w:szCs w:val="32"/>
          <w:lang w:eastAsia="hu-HU"/>
        </w:rPr>
        <w:t>ë</w:t>
      </w:r>
      <w:r>
        <w:rPr>
          <w:rFonts w:ascii="Arial" w:hAnsi="Arial" w:cs="Arial"/>
          <w:sz w:val="32"/>
          <w:szCs w:val="32"/>
          <w:lang w:eastAsia="hu-HU"/>
        </w:rPr>
        <w:t xml:space="preserve"> jan</w:t>
      </w:r>
      <w:r w:rsidR="00AA0EEA">
        <w:rPr>
          <w:rFonts w:ascii="Arial" w:hAnsi="Arial" w:cs="Arial"/>
          <w:sz w:val="32"/>
          <w:szCs w:val="32"/>
          <w:lang w:eastAsia="hu-HU"/>
        </w:rPr>
        <w:t>ë</w:t>
      </w:r>
      <w:r>
        <w:rPr>
          <w:rFonts w:ascii="Arial" w:hAnsi="Arial" w:cs="Arial"/>
          <w:sz w:val="32"/>
          <w:szCs w:val="32"/>
          <w:lang w:eastAsia="hu-HU"/>
        </w:rPr>
        <w:t xml:space="preserve"> n</w:t>
      </w:r>
      <w:r w:rsidR="00AA0EEA">
        <w:rPr>
          <w:rFonts w:ascii="Arial" w:hAnsi="Arial" w:cs="Arial"/>
          <w:sz w:val="32"/>
          <w:szCs w:val="32"/>
          <w:lang w:eastAsia="hu-HU"/>
        </w:rPr>
        <w:t>ë</w:t>
      </w:r>
      <w:r>
        <w:rPr>
          <w:rFonts w:ascii="Arial" w:hAnsi="Arial" w:cs="Arial"/>
          <w:sz w:val="32"/>
          <w:szCs w:val="32"/>
          <w:lang w:eastAsia="hu-HU"/>
        </w:rPr>
        <w:t xml:space="preserve"> proçes hetimi apo monitorimi, por </w:t>
      </w:r>
      <w:r w:rsidR="00AA0EEA">
        <w:rPr>
          <w:rFonts w:ascii="Arial" w:hAnsi="Arial" w:cs="Arial"/>
          <w:sz w:val="32"/>
          <w:szCs w:val="32"/>
          <w:lang w:eastAsia="hu-HU"/>
        </w:rPr>
        <w:t>edhe për çdo treg të munshëm që do të kemi sinjale.</w:t>
      </w:r>
    </w:p>
    <w:p w:rsidR="00AA0EEA" w:rsidRDefault="00AA0EEA" w:rsidP="00C344EC">
      <w:pPr>
        <w:jc w:val="both"/>
        <w:rPr>
          <w:rFonts w:ascii="Arial" w:hAnsi="Arial" w:cs="Arial"/>
          <w:sz w:val="32"/>
          <w:szCs w:val="32"/>
          <w:lang w:eastAsia="hu-HU"/>
        </w:rPr>
      </w:pP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  <w:lang w:eastAsia="hu-HU"/>
        </w:rPr>
      </w:pPr>
      <w:r w:rsidRPr="00D25594">
        <w:rPr>
          <w:rFonts w:ascii="Arial" w:hAnsi="Arial" w:cs="Arial"/>
          <w:sz w:val="32"/>
          <w:szCs w:val="32"/>
          <w:lang w:eastAsia="hu-HU"/>
        </w:rPr>
        <w:t>Monitorimi i vazhdueshëm i ndërmarrjeve publike ose private, të cilave ju janë dhënë nga shteti të drejta eks</w:t>
      </w:r>
      <w:r w:rsidR="00DF04E8">
        <w:rPr>
          <w:rFonts w:ascii="Arial" w:hAnsi="Arial" w:cs="Arial"/>
          <w:sz w:val="32"/>
          <w:szCs w:val="32"/>
          <w:lang w:eastAsia="hu-HU"/>
        </w:rPr>
        <w:t>k</w:t>
      </w:r>
      <w:r w:rsidRPr="00D25594">
        <w:rPr>
          <w:rFonts w:ascii="Arial" w:hAnsi="Arial" w:cs="Arial"/>
          <w:sz w:val="32"/>
          <w:szCs w:val="32"/>
          <w:lang w:eastAsia="hu-HU"/>
        </w:rPr>
        <w:t>luzive ose të veçanta, si dhe monopoleve me të drejta ushtrimi të veprimtarisë në fushën e shërbimeve me interes ekonomik të përgjithshëm, është një priorite</w:t>
      </w:r>
      <w:r w:rsidR="00FF6589">
        <w:rPr>
          <w:rFonts w:ascii="Arial" w:hAnsi="Arial" w:cs="Arial"/>
          <w:sz w:val="32"/>
          <w:szCs w:val="32"/>
          <w:lang w:eastAsia="hu-HU"/>
        </w:rPr>
        <w:t xml:space="preserve">t i </w:t>
      </w:r>
      <w:r w:rsidR="00DF04E8">
        <w:rPr>
          <w:rFonts w:ascii="Arial" w:hAnsi="Arial" w:cs="Arial"/>
          <w:sz w:val="32"/>
          <w:szCs w:val="32"/>
          <w:lang w:eastAsia="hu-HU"/>
        </w:rPr>
        <w:t>Autoritet</w:t>
      </w:r>
      <w:r w:rsidR="00FF6589">
        <w:rPr>
          <w:rFonts w:ascii="Arial" w:hAnsi="Arial" w:cs="Arial"/>
          <w:sz w:val="32"/>
          <w:szCs w:val="32"/>
          <w:lang w:eastAsia="hu-HU"/>
        </w:rPr>
        <w:t>it të Konkurrencës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. </w:t>
      </w: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  <w:lang w:eastAsia="hu-HU"/>
        </w:rPr>
      </w:pP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  <w:lang w:eastAsia="hu-HU"/>
        </w:rPr>
      </w:pPr>
      <w:r w:rsidRPr="00D25594">
        <w:rPr>
          <w:rFonts w:ascii="Arial" w:hAnsi="Arial" w:cs="Arial"/>
          <w:sz w:val="32"/>
          <w:szCs w:val="32"/>
          <w:lang w:eastAsia="hu-HU"/>
        </w:rPr>
        <w:lastRenderedPageBreak/>
        <w:t xml:space="preserve">Trajtimi </w:t>
      </w:r>
      <w:r w:rsidR="00D2785C">
        <w:rPr>
          <w:rFonts w:ascii="Arial" w:hAnsi="Arial" w:cs="Arial"/>
          <w:sz w:val="32"/>
          <w:szCs w:val="32"/>
          <w:lang w:eastAsia="hu-HU"/>
        </w:rPr>
        <w:t>sa m</w:t>
      </w:r>
      <w:r w:rsidR="00AA0EEA">
        <w:rPr>
          <w:rFonts w:ascii="Arial" w:hAnsi="Arial" w:cs="Arial"/>
          <w:sz w:val="32"/>
          <w:szCs w:val="32"/>
          <w:lang w:eastAsia="hu-HU"/>
        </w:rPr>
        <w:t>ë</w:t>
      </w:r>
      <w:r w:rsidR="00D2785C">
        <w:rPr>
          <w:rFonts w:ascii="Arial" w:hAnsi="Arial" w:cs="Arial"/>
          <w:sz w:val="32"/>
          <w:szCs w:val="32"/>
          <w:lang w:eastAsia="hu-HU"/>
        </w:rPr>
        <w:t xml:space="preserve"> i shpejt</w:t>
      </w:r>
      <w:r w:rsidR="00AA0EEA">
        <w:rPr>
          <w:rFonts w:ascii="Arial" w:hAnsi="Arial" w:cs="Arial"/>
          <w:sz w:val="32"/>
          <w:szCs w:val="32"/>
          <w:lang w:eastAsia="hu-HU"/>
        </w:rPr>
        <w:t>ë</w:t>
      </w:r>
      <w:r w:rsidR="00D2785C">
        <w:rPr>
          <w:rFonts w:ascii="Arial" w:hAnsi="Arial" w:cs="Arial"/>
          <w:sz w:val="32"/>
          <w:szCs w:val="32"/>
          <w:lang w:eastAsia="hu-HU"/>
        </w:rPr>
        <w:t xml:space="preserve"> i </w:t>
      </w:r>
      <w:r w:rsidRPr="00D25594">
        <w:rPr>
          <w:rFonts w:ascii="Arial" w:hAnsi="Arial" w:cs="Arial"/>
          <w:sz w:val="32"/>
          <w:szCs w:val="32"/>
          <w:lang w:eastAsia="hu-HU"/>
        </w:rPr>
        <w:t>ankesave</w:t>
      </w:r>
      <w:r w:rsidR="00D2785C">
        <w:rPr>
          <w:rFonts w:ascii="Arial" w:hAnsi="Arial" w:cs="Arial"/>
          <w:sz w:val="32"/>
          <w:szCs w:val="32"/>
          <w:lang w:eastAsia="hu-HU"/>
        </w:rPr>
        <w:t xml:space="preserve"> dhe n</w:t>
      </w:r>
      <w:r w:rsidR="00AA0EEA">
        <w:rPr>
          <w:rFonts w:ascii="Arial" w:hAnsi="Arial" w:cs="Arial"/>
          <w:sz w:val="32"/>
          <w:szCs w:val="32"/>
          <w:lang w:eastAsia="hu-HU"/>
        </w:rPr>
        <w:t>ë</w:t>
      </w:r>
      <w:r w:rsidR="00D2785C">
        <w:rPr>
          <w:rFonts w:ascii="Arial" w:hAnsi="Arial" w:cs="Arial"/>
          <w:sz w:val="32"/>
          <w:szCs w:val="32"/>
          <w:lang w:eastAsia="hu-HU"/>
        </w:rPr>
        <w:t xml:space="preserve"> m</w:t>
      </w:r>
      <w:r w:rsidR="00AA0EEA">
        <w:rPr>
          <w:rFonts w:ascii="Arial" w:hAnsi="Arial" w:cs="Arial"/>
          <w:sz w:val="32"/>
          <w:szCs w:val="32"/>
          <w:lang w:eastAsia="hu-HU"/>
        </w:rPr>
        <w:t>ë</w:t>
      </w:r>
      <w:r w:rsidR="00D2785C">
        <w:rPr>
          <w:rFonts w:ascii="Arial" w:hAnsi="Arial" w:cs="Arial"/>
          <w:sz w:val="32"/>
          <w:szCs w:val="32"/>
          <w:lang w:eastAsia="hu-HU"/>
        </w:rPr>
        <w:t>nyr</w:t>
      </w:r>
      <w:r w:rsidR="00AA0EEA">
        <w:rPr>
          <w:rFonts w:ascii="Arial" w:hAnsi="Arial" w:cs="Arial"/>
          <w:sz w:val="32"/>
          <w:szCs w:val="32"/>
          <w:lang w:eastAsia="hu-HU"/>
        </w:rPr>
        <w:t>ë</w:t>
      </w:r>
      <w:r w:rsidR="00D2785C">
        <w:rPr>
          <w:rFonts w:ascii="Arial" w:hAnsi="Arial" w:cs="Arial"/>
          <w:sz w:val="32"/>
          <w:szCs w:val="32"/>
          <w:lang w:eastAsia="hu-HU"/>
        </w:rPr>
        <w:t xml:space="preserve"> profesionale jo vet</w:t>
      </w:r>
      <w:r w:rsidR="00AA0EEA">
        <w:rPr>
          <w:rFonts w:ascii="Arial" w:hAnsi="Arial" w:cs="Arial"/>
          <w:sz w:val="32"/>
          <w:szCs w:val="32"/>
          <w:lang w:eastAsia="hu-HU"/>
        </w:rPr>
        <w:t>ë</w:t>
      </w:r>
      <w:r w:rsidR="00D2785C">
        <w:rPr>
          <w:rFonts w:ascii="Arial" w:hAnsi="Arial" w:cs="Arial"/>
          <w:sz w:val="32"/>
          <w:szCs w:val="32"/>
          <w:lang w:eastAsia="hu-HU"/>
        </w:rPr>
        <w:t>m në proç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edurë dhe përmbajtje do të njohë risi këtë vit </w:t>
      </w:r>
      <w:r w:rsidR="00D2785C">
        <w:rPr>
          <w:rFonts w:ascii="Arial" w:hAnsi="Arial" w:cs="Arial"/>
          <w:sz w:val="32"/>
          <w:szCs w:val="32"/>
          <w:lang w:eastAsia="hu-HU"/>
        </w:rPr>
        <w:t>duke b</w:t>
      </w:r>
      <w:r w:rsidR="00AA0EEA">
        <w:rPr>
          <w:rFonts w:ascii="Arial" w:hAnsi="Arial" w:cs="Arial"/>
          <w:sz w:val="32"/>
          <w:szCs w:val="32"/>
          <w:lang w:eastAsia="hu-HU"/>
        </w:rPr>
        <w:t>ë</w:t>
      </w:r>
      <w:r w:rsidR="00D2785C">
        <w:rPr>
          <w:rFonts w:ascii="Arial" w:hAnsi="Arial" w:cs="Arial"/>
          <w:sz w:val="32"/>
          <w:szCs w:val="32"/>
          <w:lang w:eastAsia="hu-HU"/>
        </w:rPr>
        <w:t>r</w:t>
      </w:r>
      <w:r w:rsidR="00AA0EEA">
        <w:rPr>
          <w:rFonts w:ascii="Arial" w:hAnsi="Arial" w:cs="Arial"/>
          <w:sz w:val="32"/>
          <w:szCs w:val="32"/>
          <w:lang w:eastAsia="hu-HU"/>
        </w:rPr>
        <w:t>ë</w:t>
      </w:r>
      <w:r w:rsidR="00D2785C">
        <w:rPr>
          <w:rFonts w:ascii="Arial" w:hAnsi="Arial" w:cs="Arial"/>
          <w:sz w:val="32"/>
          <w:szCs w:val="32"/>
          <w:lang w:eastAsia="hu-HU"/>
        </w:rPr>
        <w:t xml:space="preserve"> edhe </w:t>
      </w:r>
      <w:r w:rsidR="00AA28A9">
        <w:rPr>
          <w:rFonts w:ascii="Arial" w:hAnsi="Arial" w:cs="Arial"/>
          <w:sz w:val="32"/>
          <w:szCs w:val="32"/>
          <w:lang w:eastAsia="hu-HU"/>
        </w:rPr>
        <w:t>p</w:t>
      </w:r>
      <w:r w:rsidR="00AA0EEA">
        <w:rPr>
          <w:rFonts w:ascii="Arial" w:hAnsi="Arial" w:cs="Arial"/>
          <w:sz w:val="32"/>
          <w:szCs w:val="32"/>
          <w:lang w:eastAsia="hu-HU"/>
        </w:rPr>
        <w:t>ë</w:t>
      </w:r>
      <w:r w:rsidR="00D2785C">
        <w:rPr>
          <w:rFonts w:ascii="Arial" w:hAnsi="Arial" w:cs="Arial"/>
          <w:sz w:val="32"/>
          <w:szCs w:val="32"/>
          <w:lang w:eastAsia="hu-HU"/>
        </w:rPr>
        <w:t>rmir</w:t>
      </w:r>
      <w:r w:rsidR="00AA0EEA">
        <w:rPr>
          <w:rFonts w:ascii="Arial" w:hAnsi="Arial" w:cs="Arial"/>
          <w:sz w:val="32"/>
          <w:szCs w:val="32"/>
          <w:lang w:eastAsia="hu-HU"/>
        </w:rPr>
        <w:t>ë</w:t>
      </w:r>
      <w:r w:rsidR="00D2785C">
        <w:rPr>
          <w:rFonts w:ascii="Arial" w:hAnsi="Arial" w:cs="Arial"/>
          <w:sz w:val="32"/>
          <w:szCs w:val="32"/>
          <w:lang w:eastAsia="hu-HU"/>
        </w:rPr>
        <w:t xml:space="preserve">simet e duhura </w:t>
      </w:r>
      <w:r w:rsidRPr="00D25594">
        <w:rPr>
          <w:rFonts w:ascii="Arial" w:hAnsi="Arial" w:cs="Arial"/>
          <w:sz w:val="32"/>
          <w:szCs w:val="32"/>
          <w:lang w:eastAsia="hu-HU"/>
        </w:rPr>
        <w:t>të akteve nënligjore mbi mënyrën e trajtimit të ankesave</w:t>
      </w:r>
      <w:r w:rsidR="00DF04E8">
        <w:rPr>
          <w:rFonts w:ascii="Arial" w:hAnsi="Arial" w:cs="Arial"/>
          <w:sz w:val="32"/>
          <w:szCs w:val="32"/>
          <w:lang w:eastAsia="hu-HU"/>
        </w:rPr>
        <w:t>,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 duke siguruar anonimatin</w:t>
      </w:r>
      <w:r w:rsidR="00D2785C">
        <w:rPr>
          <w:rFonts w:ascii="Arial" w:hAnsi="Arial" w:cs="Arial"/>
          <w:sz w:val="32"/>
          <w:szCs w:val="32"/>
          <w:lang w:eastAsia="hu-HU"/>
        </w:rPr>
        <w:t xml:space="preserve"> </w:t>
      </w:r>
      <w:r w:rsidRPr="00D25594">
        <w:rPr>
          <w:rFonts w:ascii="Arial" w:hAnsi="Arial" w:cs="Arial"/>
          <w:sz w:val="32"/>
          <w:szCs w:val="32"/>
          <w:lang w:eastAsia="hu-HU"/>
        </w:rPr>
        <w:t>(në rastet kur kërkohet)</w:t>
      </w:r>
      <w:r w:rsidR="00AA28A9">
        <w:rPr>
          <w:rFonts w:ascii="Arial" w:hAnsi="Arial" w:cs="Arial"/>
          <w:sz w:val="32"/>
          <w:szCs w:val="32"/>
          <w:lang w:eastAsia="hu-HU"/>
        </w:rPr>
        <w:t xml:space="preserve">. </w:t>
      </w:r>
      <w:r w:rsidR="00DF04E8">
        <w:rPr>
          <w:rFonts w:ascii="Arial" w:hAnsi="Arial" w:cs="Arial"/>
          <w:sz w:val="32"/>
          <w:szCs w:val="32"/>
          <w:lang w:eastAsia="hu-HU"/>
        </w:rPr>
        <w:t>Autoritet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i i Konkurrencës inkurajon çdo lloj ankese të konsumatorit, biznesit apo segmenteve të tjera të tregut, duke u angazhuar në ndjekjen e tyre edhe pranë institucioneve të tjera në rastet kur ankesat janë jashtë objektit të ligjit të konkurrencës. </w:t>
      </w:r>
    </w:p>
    <w:p w:rsidR="00AA28A9" w:rsidRDefault="00AA28A9" w:rsidP="00C344EC">
      <w:pPr>
        <w:jc w:val="both"/>
        <w:rPr>
          <w:rFonts w:ascii="Arial" w:hAnsi="Arial" w:cs="Arial"/>
          <w:sz w:val="32"/>
          <w:szCs w:val="32"/>
        </w:rPr>
      </w:pP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Thellimi i bashkëpunimit me entet rregullatore</w:t>
      </w:r>
      <w:r w:rsidR="00AA28A9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në funksion të vendosjes së kushteve të konkurrencës së lirë dhe efektive në tregjet e rregulluara</w:t>
      </w:r>
      <w:r w:rsidR="00AA28A9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është një objektiv i rëndësishëm për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>in e Konkurrencës, për të cilin tashmë kemi marrë mbështetjen e Kuvendit, i cili i ka kërkuar organeve ekzekutive të të gjith</w:t>
      </w:r>
      <w:r w:rsidR="00AA28A9">
        <w:rPr>
          <w:rFonts w:ascii="Arial" w:hAnsi="Arial" w:cs="Arial"/>
          <w:sz w:val="32"/>
          <w:szCs w:val="32"/>
        </w:rPr>
        <w:t xml:space="preserve">a niveleve të bashkëpunojnë me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 xml:space="preserve">in në dhënien e informacionit dhe konsultimin e përhershëm në procesin e përgatitjes dhe miratimit të akteve ligjore dhe nënligjore. </w:t>
      </w: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AA28A9">
        <w:rPr>
          <w:rFonts w:ascii="Arial" w:hAnsi="Arial" w:cs="Arial"/>
          <w:b/>
          <w:sz w:val="32"/>
          <w:szCs w:val="32"/>
        </w:rPr>
        <w:t>Përafrimi i legjislacionit,</w:t>
      </w:r>
      <w:r w:rsidRPr="00D25594">
        <w:rPr>
          <w:rFonts w:ascii="Arial" w:hAnsi="Arial" w:cs="Arial"/>
          <w:sz w:val="32"/>
          <w:szCs w:val="32"/>
        </w:rPr>
        <w:t xml:space="preserve"> kryesisht atij sekondar në fushën e konkurrencës, mbetet një prioritet konstant në kuadër të PKZMSA</w:t>
      </w:r>
      <w:r w:rsidR="00FF6589">
        <w:rPr>
          <w:rFonts w:ascii="Arial" w:hAnsi="Arial" w:cs="Arial"/>
          <w:sz w:val="32"/>
          <w:szCs w:val="32"/>
        </w:rPr>
        <w:t>-s</w:t>
      </w:r>
      <w:r w:rsidR="00A9076F">
        <w:rPr>
          <w:rFonts w:ascii="Arial" w:hAnsi="Arial" w:cs="Arial"/>
          <w:sz w:val="32"/>
          <w:szCs w:val="32"/>
        </w:rPr>
        <w:t>ë</w:t>
      </w:r>
      <w:r w:rsidR="00FF6589">
        <w:rPr>
          <w:rFonts w:ascii="Arial" w:hAnsi="Arial" w:cs="Arial"/>
          <w:sz w:val="32"/>
          <w:szCs w:val="32"/>
        </w:rPr>
        <w:t>. P</w:t>
      </w:r>
      <w:r w:rsidRPr="00D25594">
        <w:rPr>
          <w:rFonts w:ascii="Arial" w:hAnsi="Arial" w:cs="Arial"/>
          <w:sz w:val="32"/>
          <w:szCs w:val="32"/>
        </w:rPr>
        <w:t xml:space="preserve">ër vitin 2014 është parashikuar përafrimi i rregullores për marreveshjet në transportin detar, udhëzuesi për </w:t>
      </w:r>
      <w:r w:rsidR="00FF6589">
        <w:rPr>
          <w:rFonts w:ascii="Arial" w:hAnsi="Arial" w:cs="Arial"/>
          <w:sz w:val="32"/>
          <w:szCs w:val="32"/>
        </w:rPr>
        <w:t>vler</w:t>
      </w:r>
      <w:r w:rsidR="00A9076F">
        <w:rPr>
          <w:rFonts w:ascii="Arial" w:hAnsi="Arial" w:cs="Arial"/>
          <w:sz w:val="32"/>
          <w:szCs w:val="32"/>
        </w:rPr>
        <w:t>ë</w:t>
      </w:r>
      <w:r w:rsidR="00FF6589">
        <w:rPr>
          <w:rFonts w:ascii="Arial" w:hAnsi="Arial" w:cs="Arial"/>
          <w:sz w:val="32"/>
          <w:szCs w:val="32"/>
        </w:rPr>
        <w:t>simin e marrëveshjeve</w:t>
      </w:r>
      <w:r w:rsidRPr="00D25594">
        <w:rPr>
          <w:rFonts w:ascii="Arial" w:hAnsi="Arial" w:cs="Arial"/>
          <w:sz w:val="32"/>
          <w:szCs w:val="32"/>
        </w:rPr>
        <w:t xml:space="preserve"> vertikale si dhe udhëzuesi mbi </w:t>
      </w:r>
      <w:r w:rsidR="00FF6589">
        <w:rPr>
          <w:rFonts w:ascii="Arial" w:hAnsi="Arial" w:cs="Arial"/>
          <w:sz w:val="32"/>
          <w:szCs w:val="32"/>
        </w:rPr>
        <w:t>vler</w:t>
      </w:r>
      <w:r w:rsidR="00A9076F">
        <w:rPr>
          <w:rFonts w:ascii="Arial" w:hAnsi="Arial" w:cs="Arial"/>
          <w:sz w:val="32"/>
          <w:szCs w:val="32"/>
        </w:rPr>
        <w:t>ë</w:t>
      </w:r>
      <w:r w:rsidR="00FF6589">
        <w:rPr>
          <w:rFonts w:ascii="Arial" w:hAnsi="Arial" w:cs="Arial"/>
          <w:sz w:val="32"/>
          <w:szCs w:val="32"/>
        </w:rPr>
        <w:t>simin e abuzimit</w:t>
      </w:r>
      <w:r w:rsidRPr="00D25594">
        <w:rPr>
          <w:rFonts w:ascii="Arial" w:hAnsi="Arial" w:cs="Arial"/>
          <w:sz w:val="32"/>
          <w:szCs w:val="32"/>
        </w:rPr>
        <w:t xml:space="preserve"> me pozitën dominuese. </w:t>
      </w:r>
    </w:p>
    <w:p w:rsidR="00C344EC" w:rsidRPr="00D25594" w:rsidRDefault="00C344EC" w:rsidP="00C344EC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C344EC" w:rsidRPr="00D25594" w:rsidRDefault="00FF6589" w:rsidP="00C344EC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Gjithashtu, do të vazhdojë proç</w:t>
      </w:r>
      <w:r w:rsidR="00C344EC" w:rsidRPr="00D25594">
        <w:rPr>
          <w:rFonts w:ascii="Arial" w:hAnsi="Arial" w:cs="Arial"/>
          <w:color w:val="000000"/>
          <w:sz w:val="32"/>
          <w:szCs w:val="32"/>
        </w:rPr>
        <w:t xml:space="preserve">esi i raportimeve të aktivitetit të institucionit pranë Ministrisë së </w:t>
      </w:r>
      <w:r>
        <w:rPr>
          <w:rFonts w:ascii="Arial" w:hAnsi="Arial" w:cs="Arial"/>
          <w:color w:val="000000"/>
          <w:sz w:val="32"/>
          <w:szCs w:val="32"/>
        </w:rPr>
        <w:t xml:space="preserve">Integrimit Europian, </w:t>
      </w:r>
      <w:r w:rsidR="00C344EC" w:rsidRPr="00D25594">
        <w:rPr>
          <w:rFonts w:ascii="Arial" w:hAnsi="Arial" w:cs="Arial"/>
          <w:color w:val="000000"/>
          <w:sz w:val="32"/>
          <w:szCs w:val="32"/>
        </w:rPr>
        <w:t xml:space="preserve">duke pasqyruar nismat ligjore, zbatueshmërinë e ligjit si dhe gjithë veprimtarinë e institucionit tonë. Si koordinues për kapitullin 8 “Politika e Konkurrencës” </w:t>
      </w:r>
      <w:r w:rsidR="00DF04E8">
        <w:rPr>
          <w:rFonts w:ascii="Arial" w:hAnsi="Arial" w:cs="Arial"/>
          <w:color w:val="000000"/>
          <w:sz w:val="32"/>
          <w:szCs w:val="32"/>
        </w:rPr>
        <w:t>Autoritet</w:t>
      </w:r>
      <w:r w:rsidR="00C344EC" w:rsidRPr="00D25594">
        <w:rPr>
          <w:rFonts w:ascii="Arial" w:hAnsi="Arial" w:cs="Arial"/>
          <w:color w:val="000000"/>
          <w:sz w:val="32"/>
          <w:szCs w:val="32"/>
        </w:rPr>
        <w:t>i i Konkurrencës do të drejtojë proçesin e përgatitjes së materialeve përkatës në lidhje me këtë kapitull, duke sjellë informacionin e duhur dhe risitë në periudhat kohore përkatëse.</w:t>
      </w: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lastRenderedPageBreak/>
        <w:t xml:space="preserve">Nisma e Komisionit të Konkurrencës për të rishikuar dhe ridimensionuar prioritetet e </w:t>
      </w:r>
      <w:r w:rsidRPr="00FF6589">
        <w:rPr>
          <w:rFonts w:ascii="Arial" w:hAnsi="Arial" w:cs="Arial"/>
          <w:b/>
          <w:sz w:val="32"/>
          <w:szCs w:val="32"/>
        </w:rPr>
        <w:t xml:space="preserve">Politikës Kombëtare të Konkurrencës </w:t>
      </w:r>
      <w:r w:rsidRPr="00D25594">
        <w:rPr>
          <w:rFonts w:ascii="Arial" w:hAnsi="Arial" w:cs="Arial"/>
          <w:sz w:val="32"/>
          <w:szCs w:val="32"/>
        </w:rPr>
        <w:t>ka filluar të konkretizohet me bashkëpunimin edhe me njësinë e hartimit të strategjive pranë Këshillit të</w:t>
      </w:r>
      <w:r w:rsidR="00FF6589">
        <w:rPr>
          <w:rFonts w:ascii="Arial" w:hAnsi="Arial" w:cs="Arial"/>
          <w:sz w:val="32"/>
          <w:szCs w:val="32"/>
        </w:rPr>
        <w:t xml:space="preserve"> Ministrave. Brenda vitit 2014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>i në bashkëpunim dhe në konsultim me Komisionin e Ekonomisë dhe të Financave, Këshillin e Ministrave, Entet Rregullatore, komunitetin e biznesit dhe shoqatat e konsumatorit</w:t>
      </w:r>
      <w:r w:rsidR="00DF04E8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do të ketë dokumentin e ri të Politikës së Konkurrencës. </w:t>
      </w:r>
    </w:p>
    <w:p w:rsidR="00C344EC" w:rsidRPr="00D25594" w:rsidRDefault="00C344EC" w:rsidP="00C344EC">
      <w:pPr>
        <w:spacing w:before="240"/>
        <w:jc w:val="both"/>
        <w:rPr>
          <w:rFonts w:ascii="Arial" w:hAnsi="Arial" w:cs="Arial"/>
          <w:sz w:val="32"/>
          <w:szCs w:val="32"/>
          <w:lang w:eastAsia="hu-HU"/>
        </w:rPr>
      </w:pPr>
      <w:r w:rsidRPr="00D25594">
        <w:rPr>
          <w:rFonts w:ascii="Arial" w:hAnsi="Arial" w:cs="Arial"/>
          <w:sz w:val="32"/>
          <w:szCs w:val="32"/>
          <w:lang w:eastAsia="hu-HU"/>
        </w:rPr>
        <w:t xml:space="preserve">Proçesi i  vlerësimit mbi zbatimin e </w:t>
      </w:r>
      <w:r w:rsidR="00DF04E8">
        <w:rPr>
          <w:rFonts w:ascii="Arial" w:hAnsi="Arial" w:cs="Arial"/>
          <w:sz w:val="32"/>
          <w:szCs w:val="32"/>
          <w:lang w:eastAsia="hu-HU"/>
        </w:rPr>
        <w:t>L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igjit dhe </w:t>
      </w:r>
      <w:r w:rsidR="00DF04E8">
        <w:rPr>
          <w:rFonts w:ascii="Arial" w:hAnsi="Arial" w:cs="Arial"/>
          <w:sz w:val="32"/>
          <w:szCs w:val="32"/>
          <w:lang w:eastAsia="hu-HU"/>
        </w:rPr>
        <w:t>P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olitikës së </w:t>
      </w:r>
      <w:r w:rsidR="00DF04E8">
        <w:rPr>
          <w:rFonts w:ascii="Arial" w:hAnsi="Arial" w:cs="Arial"/>
          <w:sz w:val="32"/>
          <w:szCs w:val="32"/>
          <w:lang w:eastAsia="hu-HU"/>
        </w:rPr>
        <w:t>K</w:t>
      </w:r>
      <w:r w:rsidRPr="00D25594">
        <w:rPr>
          <w:rFonts w:ascii="Arial" w:hAnsi="Arial" w:cs="Arial"/>
          <w:sz w:val="32"/>
          <w:szCs w:val="32"/>
          <w:lang w:eastAsia="hu-HU"/>
        </w:rPr>
        <w:t>onkurrencës</w:t>
      </w:r>
      <w:r w:rsidR="00FF6589">
        <w:rPr>
          <w:rFonts w:ascii="Arial" w:hAnsi="Arial" w:cs="Arial"/>
          <w:sz w:val="32"/>
          <w:szCs w:val="32"/>
          <w:lang w:eastAsia="hu-HU"/>
        </w:rPr>
        <w:t>,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 që do të ndërmerret nga ekspertët ndërkombëtar</w:t>
      </w:r>
      <w:r w:rsidR="00DF04E8">
        <w:rPr>
          <w:rFonts w:ascii="Arial" w:hAnsi="Arial" w:cs="Arial"/>
          <w:sz w:val="32"/>
          <w:szCs w:val="32"/>
          <w:lang w:eastAsia="hu-HU"/>
        </w:rPr>
        <w:t>ë</w:t>
      </w:r>
      <w:r w:rsidRPr="00D25594">
        <w:rPr>
          <w:rFonts w:ascii="Arial" w:hAnsi="Arial" w:cs="Arial"/>
          <w:sz w:val="32"/>
          <w:szCs w:val="32"/>
          <w:lang w:eastAsia="hu-HU"/>
        </w:rPr>
        <w:t xml:space="preserve"> dhe në bashkëpunim me UNCTAD, do të shërbejë edhe për identifikimin e problematikave që duhet të marrë vëmendjen e duhur gjatë hartimit të versionit të rishikuar të Politikës Kombëtare të Konkurrencës. Një aspekt do të jetë përfshirja e rolit të qeverisë vendore për mirëfunksionimin e tregjeve rajonale brenda vendit, për të cilën do të bashkëpunohet me ministrinë përkatëse.</w:t>
      </w:r>
    </w:p>
    <w:p w:rsidR="00C344EC" w:rsidRPr="00D25594" w:rsidRDefault="00C344EC" w:rsidP="00C344EC">
      <w:pPr>
        <w:spacing w:before="240"/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>Sikurse</w:t>
      </w:r>
      <w:r w:rsidR="00FF6589">
        <w:rPr>
          <w:rFonts w:ascii="Arial" w:hAnsi="Arial" w:cs="Arial"/>
          <w:sz w:val="32"/>
          <w:szCs w:val="32"/>
        </w:rPr>
        <w:t xml:space="preserve"> u</w:t>
      </w:r>
      <w:r w:rsidRPr="00D25594">
        <w:rPr>
          <w:rFonts w:ascii="Arial" w:hAnsi="Arial" w:cs="Arial"/>
          <w:sz w:val="32"/>
          <w:szCs w:val="32"/>
        </w:rPr>
        <w:t xml:space="preserve"> theksu</w:t>
      </w:r>
      <w:r w:rsidR="00FF6589">
        <w:rPr>
          <w:rFonts w:ascii="Arial" w:hAnsi="Arial" w:cs="Arial"/>
          <w:sz w:val="32"/>
          <w:szCs w:val="32"/>
        </w:rPr>
        <w:t>a</w:t>
      </w:r>
      <w:r w:rsidRPr="00D25594">
        <w:rPr>
          <w:rFonts w:ascii="Arial" w:hAnsi="Arial" w:cs="Arial"/>
          <w:sz w:val="32"/>
          <w:szCs w:val="32"/>
        </w:rPr>
        <w:t xml:space="preserve">, </w:t>
      </w:r>
      <w:r w:rsidRPr="00FF6589">
        <w:rPr>
          <w:rFonts w:ascii="Arial" w:hAnsi="Arial" w:cs="Arial"/>
          <w:b/>
          <w:sz w:val="32"/>
          <w:szCs w:val="32"/>
        </w:rPr>
        <w:t>forcimi i kapaciteteve administrative</w:t>
      </w:r>
      <w:r w:rsidRPr="00D25594">
        <w:rPr>
          <w:rFonts w:ascii="Arial" w:hAnsi="Arial" w:cs="Arial"/>
          <w:sz w:val="32"/>
          <w:szCs w:val="32"/>
        </w:rPr>
        <w:t xml:space="preserve"> përbën prioritetin kryesor dhe të vazhdueshme të institucionit të konkurrencës. Vështirësitë e identifikuara gjatë vitit të kaluar për të siguruar evidenca direkte në rastet e dyshuara të marrëveshjeve të ndaluara apo të sjelljes së bashkërenduar</w:t>
      </w:r>
      <w:r w:rsidR="00DF04E8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tregon për sfidat e së ardhmes. Përballja me këto sfida  kërkon që inspektorët e konkurrencës duhet të përsosin instrumenat dhe teknikat e hetimeve, si dhe të rrisin shkallën e tyre të ekspertizës si në proçesin e hetimit</w:t>
      </w:r>
      <w:r w:rsidR="00DF04E8">
        <w:rPr>
          <w:rFonts w:ascii="Arial" w:hAnsi="Arial" w:cs="Arial"/>
          <w:sz w:val="32"/>
          <w:szCs w:val="32"/>
        </w:rPr>
        <w:t>,</w:t>
      </w:r>
      <w:r w:rsidRPr="00D25594">
        <w:rPr>
          <w:rFonts w:ascii="Arial" w:hAnsi="Arial" w:cs="Arial"/>
          <w:sz w:val="32"/>
          <w:szCs w:val="32"/>
        </w:rPr>
        <w:t xml:space="preserve"> ashtu edhe në teknikat e analizave ekonomike</w:t>
      </w:r>
      <w:r w:rsidR="00DF04E8">
        <w:rPr>
          <w:rFonts w:ascii="Arial" w:hAnsi="Arial" w:cs="Arial"/>
          <w:sz w:val="32"/>
          <w:szCs w:val="32"/>
        </w:rPr>
        <w:t xml:space="preserve"> të</w:t>
      </w:r>
      <w:r w:rsidRPr="00D25594">
        <w:rPr>
          <w:rFonts w:ascii="Arial" w:hAnsi="Arial" w:cs="Arial"/>
          <w:sz w:val="32"/>
          <w:szCs w:val="32"/>
        </w:rPr>
        <w:t xml:space="preserve"> cil</w:t>
      </w:r>
      <w:r w:rsidR="00DF04E8">
        <w:rPr>
          <w:rFonts w:ascii="Arial" w:hAnsi="Arial" w:cs="Arial"/>
          <w:sz w:val="32"/>
          <w:szCs w:val="32"/>
        </w:rPr>
        <w:t>at</w:t>
      </w:r>
      <w:r w:rsidRPr="00D25594">
        <w:rPr>
          <w:rFonts w:ascii="Arial" w:hAnsi="Arial" w:cs="Arial"/>
          <w:sz w:val="32"/>
          <w:szCs w:val="32"/>
        </w:rPr>
        <w:t xml:space="preserve"> do të rri</w:t>
      </w:r>
      <w:r w:rsidR="00DF04E8">
        <w:rPr>
          <w:rFonts w:ascii="Arial" w:hAnsi="Arial" w:cs="Arial"/>
          <w:sz w:val="32"/>
          <w:szCs w:val="32"/>
        </w:rPr>
        <w:t>sin</w:t>
      </w:r>
      <w:r w:rsidRPr="00D25594">
        <w:rPr>
          <w:rFonts w:ascii="Arial" w:hAnsi="Arial" w:cs="Arial"/>
          <w:sz w:val="32"/>
          <w:szCs w:val="32"/>
        </w:rPr>
        <w:t xml:space="preserve"> efektiviteti</w:t>
      </w:r>
      <w:r w:rsidR="00DF04E8">
        <w:rPr>
          <w:rFonts w:ascii="Arial" w:hAnsi="Arial" w:cs="Arial"/>
          <w:sz w:val="32"/>
          <w:szCs w:val="32"/>
        </w:rPr>
        <w:t>n</w:t>
      </w:r>
      <w:r w:rsidRPr="00D25594">
        <w:rPr>
          <w:rFonts w:ascii="Arial" w:hAnsi="Arial" w:cs="Arial"/>
          <w:sz w:val="32"/>
          <w:szCs w:val="32"/>
        </w:rPr>
        <w:t xml:space="preserve"> në grumbullimin e informacionit.</w:t>
      </w: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</w:p>
    <w:p w:rsidR="00C344EC" w:rsidRPr="00D25594" w:rsidRDefault="00C344EC" w:rsidP="00C344EC">
      <w:pPr>
        <w:jc w:val="both"/>
        <w:rPr>
          <w:rFonts w:ascii="Arial" w:hAnsi="Arial" w:cs="Arial"/>
          <w:sz w:val="32"/>
          <w:szCs w:val="32"/>
        </w:rPr>
      </w:pPr>
      <w:r w:rsidRPr="00D25594">
        <w:rPr>
          <w:rFonts w:ascii="Arial" w:hAnsi="Arial" w:cs="Arial"/>
          <w:sz w:val="32"/>
          <w:szCs w:val="32"/>
        </w:rPr>
        <w:t xml:space="preserve">Me rastin e 10 vjetorit të krijimit si institucion i pavarur të </w:t>
      </w:r>
      <w:r w:rsidR="00DF04E8">
        <w:rPr>
          <w:rFonts w:ascii="Arial" w:hAnsi="Arial" w:cs="Arial"/>
          <w:sz w:val="32"/>
          <w:szCs w:val="32"/>
        </w:rPr>
        <w:t>Autoritet</w:t>
      </w:r>
      <w:r w:rsidRPr="00D25594">
        <w:rPr>
          <w:rFonts w:ascii="Arial" w:hAnsi="Arial" w:cs="Arial"/>
          <w:sz w:val="32"/>
          <w:szCs w:val="32"/>
        </w:rPr>
        <w:t xml:space="preserve">it të Konkurrencës, në javën e parë të muajit mars </w:t>
      </w:r>
      <w:r w:rsidR="00FF6589">
        <w:rPr>
          <w:rFonts w:ascii="Arial" w:hAnsi="Arial" w:cs="Arial"/>
          <w:sz w:val="32"/>
          <w:szCs w:val="32"/>
        </w:rPr>
        <w:t xml:space="preserve">u </w:t>
      </w:r>
      <w:r w:rsidRPr="00D25594">
        <w:rPr>
          <w:rFonts w:ascii="Arial" w:hAnsi="Arial" w:cs="Arial"/>
          <w:sz w:val="32"/>
          <w:szCs w:val="32"/>
        </w:rPr>
        <w:t>zhvill</w:t>
      </w:r>
      <w:r w:rsidR="00FF6589">
        <w:rPr>
          <w:rFonts w:ascii="Arial" w:hAnsi="Arial" w:cs="Arial"/>
          <w:sz w:val="32"/>
          <w:szCs w:val="32"/>
        </w:rPr>
        <w:t>ua</w:t>
      </w:r>
      <w:r w:rsidRPr="00D25594">
        <w:rPr>
          <w:rFonts w:ascii="Arial" w:hAnsi="Arial" w:cs="Arial"/>
          <w:sz w:val="32"/>
          <w:szCs w:val="32"/>
        </w:rPr>
        <w:t xml:space="preserve"> Konferenca Ndërkombëtare Shkencore ‘Konkurrenca dhe rritja ekonomike”. Kjo konferencë shërbe</w:t>
      </w:r>
      <w:r w:rsidR="00FF6589">
        <w:rPr>
          <w:rFonts w:ascii="Arial" w:hAnsi="Arial" w:cs="Arial"/>
          <w:sz w:val="32"/>
          <w:szCs w:val="32"/>
        </w:rPr>
        <w:t>u</w:t>
      </w:r>
      <w:r w:rsidRPr="00D25594">
        <w:rPr>
          <w:rFonts w:ascii="Arial" w:hAnsi="Arial" w:cs="Arial"/>
          <w:sz w:val="32"/>
          <w:szCs w:val="32"/>
        </w:rPr>
        <w:t xml:space="preserve"> edhe për të ndarë </w:t>
      </w:r>
      <w:r w:rsidRPr="00D25594">
        <w:rPr>
          <w:rFonts w:ascii="Arial" w:hAnsi="Arial" w:cs="Arial"/>
          <w:sz w:val="32"/>
          <w:szCs w:val="32"/>
        </w:rPr>
        <w:lastRenderedPageBreak/>
        <w:t>eksperiencat dhe  shkallën e njohjes dhe zbatimit të së drejtës së konkurrencës në rastin e Shqipërisë, me  personalitete të fushës së konkurrencës.</w:t>
      </w:r>
    </w:p>
    <w:p w:rsidR="00FF6589" w:rsidRDefault="00C344EC" w:rsidP="00C344EC">
      <w:pPr>
        <w:spacing w:before="240"/>
        <w:jc w:val="both"/>
        <w:rPr>
          <w:rFonts w:ascii="Arial" w:hAnsi="Arial" w:cs="Arial"/>
          <w:color w:val="000000"/>
          <w:sz w:val="32"/>
          <w:szCs w:val="32"/>
        </w:rPr>
      </w:pPr>
      <w:r w:rsidRPr="00D25594">
        <w:rPr>
          <w:rFonts w:ascii="Arial" w:hAnsi="Arial" w:cs="Arial"/>
          <w:color w:val="000000"/>
          <w:sz w:val="32"/>
          <w:szCs w:val="32"/>
        </w:rPr>
        <w:t>Një sërë trajnimesh dhe seminaresh janë parashikuar gjatë vitit 2014 me mbështetjen e BE-së, OECD, UNCTAD, ICN, etj., ku veçojmë një seminar të financuar nga BE në kuadër të programit TAIEX për zbulimin dhe hetimin e karteleve pa evidenca direkte.</w:t>
      </w:r>
    </w:p>
    <w:p w:rsidR="00A9076F" w:rsidRDefault="00A9076F" w:rsidP="00C344EC">
      <w:pPr>
        <w:spacing w:before="24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Raporti i praqitur ka një informacion shumë të detajuar</w:t>
      </w:r>
      <w:r w:rsidR="00DF04E8">
        <w:rPr>
          <w:rFonts w:ascii="Arial" w:hAnsi="Arial" w:cs="Arial"/>
          <w:color w:val="000000"/>
          <w:sz w:val="32"/>
          <w:szCs w:val="32"/>
        </w:rPr>
        <w:t>,</w:t>
      </w:r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</w:rPr>
        <w:t xml:space="preserve"> jo vetëm përshkrues për të gjitha rastet dhe vendimmarrjet e Komisionit të Konkurrencës</w:t>
      </w:r>
      <w:r w:rsidR="00DF04E8"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z w:val="32"/>
          <w:szCs w:val="32"/>
        </w:rPr>
        <w:t xml:space="preserve"> por edhe statistikor nëpërmjet shtojcave shoqëruese. </w:t>
      </w:r>
    </w:p>
    <w:p w:rsidR="00FF6589" w:rsidRPr="00FF6589" w:rsidRDefault="00A9076F" w:rsidP="00C344EC">
      <w:pPr>
        <w:spacing w:before="24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Ju faleminderit për vëmendjen tuaj!</w:t>
      </w:r>
    </w:p>
    <w:sectPr w:rsidR="00FF6589" w:rsidRPr="00FF6589" w:rsidSect="0078028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D0" w:rsidRDefault="003B0CD0" w:rsidP="00265793">
      <w:r>
        <w:separator/>
      </w:r>
    </w:p>
  </w:endnote>
  <w:endnote w:type="continuationSeparator" w:id="0">
    <w:p w:rsidR="003B0CD0" w:rsidRDefault="003B0CD0" w:rsidP="0026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5895"/>
      <w:docPartObj>
        <w:docPartGallery w:val="Page Numbers (Bottom of Page)"/>
        <w:docPartUnique/>
      </w:docPartObj>
    </w:sdtPr>
    <w:sdtEndPr/>
    <w:sdtContent>
      <w:p w:rsidR="00946487" w:rsidRDefault="00706C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4E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46487" w:rsidRDefault="009464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D0" w:rsidRDefault="003B0CD0" w:rsidP="00265793">
      <w:r>
        <w:separator/>
      </w:r>
    </w:p>
  </w:footnote>
  <w:footnote w:type="continuationSeparator" w:id="0">
    <w:p w:rsidR="003B0CD0" w:rsidRDefault="003B0CD0" w:rsidP="0026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EA7"/>
    <w:multiLevelType w:val="hybridMultilevel"/>
    <w:tmpl w:val="C0062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D5FDF"/>
    <w:multiLevelType w:val="hybridMultilevel"/>
    <w:tmpl w:val="4C42F14A"/>
    <w:lvl w:ilvl="0" w:tplc="58AA01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44FEF"/>
    <w:multiLevelType w:val="hybridMultilevel"/>
    <w:tmpl w:val="98D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3716C"/>
    <w:multiLevelType w:val="hybridMultilevel"/>
    <w:tmpl w:val="1958B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52F19"/>
    <w:multiLevelType w:val="hybridMultilevel"/>
    <w:tmpl w:val="0E7634AC"/>
    <w:lvl w:ilvl="0" w:tplc="37EE2D6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A02E3"/>
    <w:multiLevelType w:val="hybridMultilevel"/>
    <w:tmpl w:val="FE0A7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EC"/>
    <w:rsid w:val="00024503"/>
    <w:rsid w:val="00041AC0"/>
    <w:rsid w:val="00094EEC"/>
    <w:rsid w:val="000E6CB5"/>
    <w:rsid w:val="00106BE5"/>
    <w:rsid w:val="001346C0"/>
    <w:rsid w:val="001A0E2E"/>
    <w:rsid w:val="001E5836"/>
    <w:rsid w:val="001F66AA"/>
    <w:rsid w:val="00265793"/>
    <w:rsid w:val="00277C76"/>
    <w:rsid w:val="0028457C"/>
    <w:rsid w:val="003576DB"/>
    <w:rsid w:val="003B0CD0"/>
    <w:rsid w:val="003B5031"/>
    <w:rsid w:val="00420539"/>
    <w:rsid w:val="0047629A"/>
    <w:rsid w:val="004E4EF6"/>
    <w:rsid w:val="00503CC4"/>
    <w:rsid w:val="00594015"/>
    <w:rsid w:val="005A3EC3"/>
    <w:rsid w:val="005C24EC"/>
    <w:rsid w:val="00624E5B"/>
    <w:rsid w:val="0062742C"/>
    <w:rsid w:val="0065704E"/>
    <w:rsid w:val="006B2297"/>
    <w:rsid w:val="00706C2C"/>
    <w:rsid w:val="0078028C"/>
    <w:rsid w:val="00823A31"/>
    <w:rsid w:val="008E3210"/>
    <w:rsid w:val="00906051"/>
    <w:rsid w:val="00946487"/>
    <w:rsid w:val="00970FBF"/>
    <w:rsid w:val="00A71C72"/>
    <w:rsid w:val="00A7555F"/>
    <w:rsid w:val="00A9076F"/>
    <w:rsid w:val="00AA0EEA"/>
    <w:rsid w:val="00AA28A9"/>
    <w:rsid w:val="00AE0C2F"/>
    <w:rsid w:val="00B06D1A"/>
    <w:rsid w:val="00B21401"/>
    <w:rsid w:val="00B345BE"/>
    <w:rsid w:val="00B97219"/>
    <w:rsid w:val="00BD2B0B"/>
    <w:rsid w:val="00C344EC"/>
    <w:rsid w:val="00C74F2E"/>
    <w:rsid w:val="00D22689"/>
    <w:rsid w:val="00D24499"/>
    <w:rsid w:val="00D25594"/>
    <w:rsid w:val="00D2785C"/>
    <w:rsid w:val="00DA56BE"/>
    <w:rsid w:val="00DF04E8"/>
    <w:rsid w:val="00E618B7"/>
    <w:rsid w:val="00E84182"/>
    <w:rsid w:val="00E86DD7"/>
    <w:rsid w:val="00EA3A3F"/>
    <w:rsid w:val="00ED1285"/>
    <w:rsid w:val="00EE6876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4EC"/>
    <w:pPr>
      <w:spacing w:after="0"/>
      <w:jc w:val="left"/>
    </w:pPr>
    <w:rPr>
      <w:rFonts w:ascii="Times New Roman" w:eastAsia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420539"/>
    <w:pPr>
      <w:spacing w:before="240" w:after="240"/>
      <w:outlineLvl w:val="0"/>
    </w:pPr>
    <w:rPr>
      <w:rFonts w:ascii="Calibri" w:hAnsi="Calibri" w:cs="Calibri"/>
      <w:b/>
      <w:sz w:val="28"/>
      <w:lang w:val="en-US"/>
    </w:rPr>
  </w:style>
  <w:style w:type="paragraph" w:styleId="Heading2">
    <w:name w:val="heading 2"/>
    <w:aliases w:val=" Char"/>
    <w:basedOn w:val="Normal"/>
    <w:next w:val="Normal"/>
    <w:link w:val="Heading2Char"/>
    <w:qFormat/>
    <w:rsid w:val="00420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420539"/>
    <w:pPr>
      <w:keepNext/>
      <w:spacing w:before="240" w:after="60"/>
      <w:ind w:left="720"/>
      <w:outlineLvl w:val="2"/>
    </w:pPr>
    <w:rPr>
      <w:rFonts w:ascii="Calibri" w:hAnsi="Calibri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420539"/>
    <w:pPr>
      <w:keepNext/>
      <w:spacing w:before="240" w:after="60"/>
      <w:ind w:left="720"/>
      <w:outlineLvl w:val="3"/>
    </w:pPr>
    <w:rPr>
      <w:rFonts w:ascii="Arial" w:hAnsi="Arial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0539"/>
    <w:rPr>
      <w:rFonts w:ascii="Calibri" w:eastAsia="Times New Roman" w:hAnsi="Calibri" w:cs="Calibri"/>
      <w:b/>
      <w:sz w:val="28"/>
      <w:szCs w:val="24"/>
      <w:lang w:bidi="ar-SA"/>
    </w:rPr>
  </w:style>
  <w:style w:type="character" w:customStyle="1" w:styleId="Heading2Char">
    <w:name w:val="Heading 2 Char"/>
    <w:aliases w:val=" Char Char"/>
    <w:basedOn w:val="DefaultParagraphFont"/>
    <w:link w:val="Heading2"/>
    <w:rsid w:val="00420539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420539"/>
    <w:rPr>
      <w:rFonts w:ascii="Calibri" w:eastAsia="Times New Roman" w:hAnsi="Calibri" w:cs="Ari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420539"/>
    <w:rPr>
      <w:rFonts w:ascii="Arial" w:eastAsia="Times New Roman" w:hAnsi="Arial" w:cs="Times New Roman"/>
      <w:b/>
      <w:bCs/>
      <w:sz w:val="24"/>
      <w:szCs w:val="28"/>
      <w:lang w:bidi="ar-SA"/>
    </w:rPr>
  </w:style>
  <w:style w:type="paragraph" w:styleId="NoSpacing">
    <w:name w:val="No Spacing"/>
    <w:basedOn w:val="Normal"/>
    <w:next w:val="Normal"/>
    <w:qFormat/>
    <w:rsid w:val="00420539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ListParagraph">
    <w:name w:val="List Paragraph"/>
    <w:basedOn w:val="Normal"/>
    <w:qFormat/>
    <w:rsid w:val="0042053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420539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344EC"/>
    <w:pPr>
      <w:ind w:left="240"/>
    </w:pPr>
    <w:rPr>
      <w:rFonts w:ascii="Calibri" w:hAnsi="Calibri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4EC"/>
    <w:rPr>
      <w:rFonts w:ascii="Times New Roman" w:eastAsia="Times New Roman" w:hAnsi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34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4EC"/>
    <w:rPr>
      <w:rFonts w:ascii="Times New Roman" w:eastAsia="Times New Roman" w:hAnsi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82"/>
    <w:rPr>
      <w:rFonts w:ascii="Tahoma" w:eastAsia="Times New Roman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4EC"/>
    <w:pPr>
      <w:spacing w:after="0"/>
      <w:jc w:val="left"/>
    </w:pPr>
    <w:rPr>
      <w:rFonts w:ascii="Times New Roman" w:eastAsia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420539"/>
    <w:pPr>
      <w:spacing w:before="240" w:after="240"/>
      <w:outlineLvl w:val="0"/>
    </w:pPr>
    <w:rPr>
      <w:rFonts w:ascii="Calibri" w:hAnsi="Calibri" w:cs="Calibri"/>
      <w:b/>
      <w:sz w:val="28"/>
      <w:lang w:val="en-US"/>
    </w:rPr>
  </w:style>
  <w:style w:type="paragraph" w:styleId="Heading2">
    <w:name w:val="heading 2"/>
    <w:aliases w:val=" Char"/>
    <w:basedOn w:val="Normal"/>
    <w:next w:val="Normal"/>
    <w:link w:val="Heading2Char"/>
    <w:qFormat/>
    <w:rsid w:val="00420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420539"/>
    <w:pPr>
      <w:keepNext/>
      <w:spacing w:before="240" w:after="60"/>
      <w:ind w:left="720"/>
      <w:outlineLvl w:val="2"/>
    </w:pPr>
    <w:rPr>
      <w:rFonts w:ascii="Calibri" w:hAnsi="Calibri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420539"/>
    <w:pPr>
      <w:keepNext/>
      <w:spacing w:before="240" w:after="60"/>
      <w:ind w:left="720"/>
      <w:outlineLvl w:val="3"/>
    </w:pPr>
    <w:rPr>
      <w:rFonts w:ascii="Arial" w:hAnsi="Arial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0539"/>
    <w:rPr>
      <w:rFonts w:ascii="Calibri" w:eastAsia="Times New Roman" w:hAnsi="Calibri" w:cs="Calibri"/>
      <w:b/>
      <w:sz w:val="28"/>
      <w:szCs w:val="24"/>
      <w:lang w:bidi="ar-SA"/>
    </w:rPr>
  </w:style>
  <w:style w:type="character" w:customStyle="1" w:styleId="Heading2Char">
    <w:name w:val="Heading 2 Char"/>
    <w:aliases w:val=" Char Char"/>
    <w:basedOn w:val="DefaultParagraphFont"/>
    <w:link w:val="Heading2"/>
    <w:rsid w:val="00420539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420539"/>
    <w:rPr>
      <w:rFonts w:ascii="Calibri" w:eastAsia="Times New Roman" w:hAnsi="Calibri" w:cs="Ari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420539"/>
    <w:rPr>
      <w:rFonts w:ascii="Arial" w:eastAsia="Times New Roman" w:hAnsi="Arial" w:cs="Times New Roman"/>
      <w:b/>
      <w:bCs/>
      <w:sz w:val="24"/>
      <w:szCs w:val="28"/>
      <w:lang w:bidi="ar-SA"/>
    </w:rPr>
  </w:style>
  <w:style w:type="paragraph" w:styleId="NoSpacing">
    <w:name w:val="No Spacing"/>
    <w:basedOn w:val="Normal"/>
    <w:next w:val="Normal"/>
    <w:qFormat/>
    <w:rsid w:val="00420539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ListParagraph">
    <w:name w:val="List Paragraph"/>
    <w:basedOn w:val="Normal"/>
    <w:qFormat/>
    <w:rsid w:val="0042053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420539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344EC"/>
    <w:pPr>
      <w:ind w:left="240"/>
    </w:pPr>
    <w:rPr>
      <w:rFonts w:ascii="Calibri" w:hAnsi="Calibri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4EC"/>
    <w:rPr>
      <w:rFonts w:ascii="Times New Roman" w:eastAsia="Times New Roman" w:hAnsi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34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4EC"/>
    <w:rPr>
      <w:rFonts w:ascii="Times New Roman" w:eastAsia="Times New Roman" w:hAnsi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82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A1EC-6105-4248-BEDA-0AE747B7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Autoriteti i Konkurrences</Company>
  <LinksUpToDate>false</LinksUpToDate>
  <CharactersWithSpaces>21691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lati</dc:creator>
  <cp:lastModifiedBy>alda.milo</cp:lastModifiedBy>
  <cp:revision>6</cp:revision>
  <cp:lastPrinted>2014-03-19T08:37:00Z</cp:lastPrinted>
  <dcterms:created xsi:type="dcterms:W3CDTF">2014-03-19T08:25:00Z</dcterms:created>
  <dcterms:modified xsi:type="dcterms:W3CDTF">2014-03-19T10:25:00Z</dcterms:modified>
</cp:coreProperties>
</file>